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312" w:afterLines="100"/>
        <w:jc w:val="center"/>
        <w:outlineLvl w:val="0"/>
        <w:rPr>
          <w:rFonts w:ascii="黑体" w:hAnsi="Calibri" w:eastAsia="黑体" w:cs="Times New Roman"/>
          <w:sz w:val="36"/>
          <w:szCs w:val="36"/>
          <w:highlight w:val="none"/>
        </w:rPr>
      </w:pPr>
      <w:r>
        <w:rPr>
          <w:rFonts w:hint="eastAsia" w:ascii="黑体" w:hAnsi="Calibri" w:eastAsia="黑体" w:cs="Times New Roman"/>
          <w:sz w:val="36"/>
          <w:szCs w:val="36"/>
          <w:highlight w:val="none"/>
        </w:rPr>
        <w:t>20</w:t>
      </w:r>
      <w:r>
        <w:rPr>
          <w:rFonts w:ascii="黑体" w:hAnsi="Calibri" w:eastAsia="黑体" w:cs="Times New Roman"/>
          <w:sz w:val="36"/>
          <w:szCs w:val="36"/>
          <w:highlight w:val="none"/>
        </w:rPr>
        <w:t>2</w:t>
      </w:r>
      <w:r>
        <w:rPr>
          <w:rFonts w:hint="eastAsia" w:ascii="黑体" w:hAnsi="Calibri" w:eastAsia="黑体" w:cs="Times New Roman"/>
          <w:sz w:val="36"/>
          <w:szCs w:val="36"/>
          <w:highlight w:val="none"/>
          <w:lang w:val="en-US" w:eastAsia="zh-CN"/>
        </w:rPr>
        <w:t>5</w:t>
      </w:r>
      <w:r>
        <w:rPr>
          <w:rFonts w:hint="eastAsia" w:ascii="黑体" w:hAnsi="Calibri" w:eastAsia="黑体" w:cs="Times New Roman"/>
          <w:sz w:val="36"/>
          <w:szCs w:val="36"/>
          <w:highlight w:val="none"/>
        </w:rPr>
        <w:t>年</w:t>
      </w:r>
      <w:r>
        <w:rPr>
          <w:rFonts w:hint="eastAsia" w:ascii="黑体" w:hAnsi="Calibri" w:eastAsia="黑体" w:cs="Times New Roman"/>
          <w:sz w:val="36"/>
          <w:szCs w:val="36"/>
          <w:highlight w:val="none"/>
          <w:lang w:eastAsia="zh-CN"/>
        </w:rPr>
        <w:t>三</w:t>
      </w:r>
      <w:r>
        <w:rPr>
          <w:rFonts w:hint="eastAsia" w:ascii="黑体" w:hAnsi="Calibri" w:eastAsia="黑体" w:cs="Times New Roman"/>
          <w:sz w:val="36"/>
          <w:szCs w:val="36"/>
          <w:highlight w:val="none"/>
        </w:rPr>
        <w:t>季度关联交易备案报告</w:t>
      </w:r>
    </w:p>
    <w:p>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根据《银行保险机构关联交易管理办法》、中国证监会《公开发行证券的公司信息披露编报规则第26号-商业银行信息披露特别规定》，及本行《章程》《关联交易管理办法》的有关规定，现将本行202</w:t>
      </w:r>
      <w:r>
        <w:rPr>
          <w:rFonts w:hint="eastAsia" w:ascii="仿宋" w:hAnsi="仿宋" w:eastAsia="仿宋" w:cs="Times New Roman"/>
          <w:sz w:val="30"/>
          <w:szCs w:val="30"/>
          <w:highlight w:val="none"/>
          <w:lang w:val="en-US" w:eastAsia="zh-CN"/>
        </w:rPr>
        <w:t>5</w:t>
      </w:r>
      <w:r>
        <w:rPr>
          <w:rFonts w:hint="eastAsia" w:ascii="仿宋" w:hAnsi="仿宋" w:eastAsia="仿宋" w:cs="Times New Roman"/>
          <w:sz w:val="30"/>
          <w:szCs w:val="30"/>
          <w:highlight w:val="none"/>
        </w:rPr>
        <w:t>年</w:t>
      </w:r>
      <w:r>
        <w:rPr>
          <w:rFonts w:hint="eastAsia" w:ascii="仿宋" w:hAnsi="仿宋" w:eastAsia="仿宋" w:cs="Times New Roman"/>
          <w:sz w:val="30"/>
          <w:szCs w:val="30"/>
          <w:highlight w:val="none"/>
          <w:lang w:eastAsia="zh-CN"/>
        </w:rPr>
        <w:t>三</w:t>
      </w:r>
      <w:r>
        <w:rPr>
          <w:rFonts w:hint="eastAsia" w:ascii="仿宋" w:hAnsi="仿宋" w:eastAsia="仿宋" w:cs="Times New Roman"/>
          <w:sz w:val="30"/>
          <w:szCs w:val="30"/>
          <w:highlight w:val="none"/>
        </w:rPr>
        <w:t>季度关联交易备案情况报告如下：</w:t>
      </w:r>
    </w:p>
    <w:p>
      <w:pPr>
        <w:ind w:firstLine="600" w:firstLineChars="200"/>
        <w:rPr>
          <w:rFonts w:ascii="仿宋_GB2312" w:hAnsi="Times New Roman" w:eastAsia="仿宋_GB2312" w:cs="Times New Roman"/>
          <w:b/>
          <w:bCs/>
          <w:sz w:val="30"/>
          <w:szCs w:val="30"/>
          <w:highlight w:val="none"/>
        </w:rPr>
      </w:pPr>
      <w:r>
        <w:rPr>
          <w:rFonts w:hint="eastAsia" w:ascii="黑体" w:hAnsi="黑体" w:eastAsia="黑体" w:cs="KFWCQV+ËÎÌå"/>
          <w:sz w:val="30"/>
          <w:szCs w:val="30"/>
          <w:highlight w:val="none"/>
        </w:rPr>
        <w:t>一、备案关联方的基本情况</w:t>
      </w:r>
    </w:p>
    <w:p>
      <w:pPr>
        <w:pStyle w:val="14"/>
        <w:ind w:firstLine="585"/>
        <w:rPr>
          <w:rFonts w:ascii="仿宋_GB2312" w:hAnsi="Times New Roman" w:eastAsia="仿宋_GB2312" w:cs="Times New Roman"/>
          <w:b/>
          <w:kern w:val="2"/>
          <w:sz w:val="30"/>
          <w:szCs w:val="30"/>
          <w:highlight w:val="none"/>
        </w:rPr>
      </w:pPr>
      <w:r>
        <w:rPr>
          <w:rFonts w:hint="eastAsia" w:ascii="仿宋_GB2312" w:hAnsi="Times New Roman" w:eastAsia="仿宋_GB2312" w:cs="Times New Roman"/>
          <w:b/>
          <w:kern w:val="2"/>
          <w:sz w:val="30"/>
          <w:szCs w:val="30"/>
          <w:highlight w:val="none"/>
        </w:rPr>
        <w:t>苏州汉润文化旅游发展有限公司及其关联体</w:t>
      </w:r>
    </w:p>
    <w:p>
      <w:pPr>
        <w:ind w:firstLine="600" w:firstLineChars="200"/>
        <w:rPr>
          <w:rFonts w:ascii="仿宋" w:hAnsi="仿宋" w:eastAsia="仿宋"/>
          <w:sz w:val="30"/>
          <w:szCs w:val="30"/>
          <w:highlight w:val="none"/>
        </w:rPr>
      </w:pPr>
      <w:r>
        <w:rPr>
          <w:rFonts w:hint="eastAsia" w:ascii="仿宋" w:hAnsi="仿宋" w:eastAsia="仿宋"/>
          <w:sz w:val="30"/>
          <w:szCs w:val="30"/>
          <w:highlight w:val="none"/>
        </w:rPr>
        <w:t>苏州汉润文化旅游发展有限公司向本行派驻监事王渝涵，被认定为本行主要股东，该关联集团部分成员情况如下：</w:t>
      </w:r>
    </w:p>
    <w:p>
      <w:pPr>
        <w:widowControl w:val="0"/>
        <w:numPr>
          <w:ilvl w:val="255"/>
          <w:numId w:val="0"/>
        </w:numPr>
        <w:ind w:left="600" w:right="1200"/>
        <w:jc w:val="both"/>
        <w:rPr>
          <w:rFonts w:ascii="仿宋_GB2312" w:hAnsi="仿宋_GB2312" w:eastAsia="仿宋_GB2312" w:cs="仿宋_GB2312"/>
          <w:b/>
          <w:bCs/>
          <w:sz w:val="30"/>
          <w:szCs w:val="30"/>
          <w:highlight w:val="none"/>
        </w:rPr>
      </w:pPr>
      <w:r>
        <w:rPr>
          <w:rFonts w:ascii="仿宋_GB2312" w:eastAsia="仿宋_GB2312"/>
          <w:b/>
          <w:kern w:val="2"/>
          <w:sz w:val="30"/>
          <w:szCs w:val="30"/>
          <w:highlight w:val="none"/>
        </w:rPr>
        <w:t>1</w:t>
      </w:r>
      <w:r>
        <w:rPr>
          <w:rFonts w:hint="eastAsia" w:ascii="仿宋_GB2312" w:eastAsia="仿宋_GB2312"/>
          <w:b/>
          <w:kern w:val="2"/>
          <w:sz w:val="30"/>
          <w:szCs w:val="30"/>
          <w:highlight w:val="none"/>
        </w:rPr>
        <w:t>、苏</w:t>
      </w:r>
      <w:r>
        <w:rPr>
          <w:rFonts w:hint="eastAsia" w:ascii="仿宋_GB2312" w:hAnsi="仿宋_GB2312" w:eastAsia="仿宋_GB2312" w:cs="仿宋_GB2312"/>
          <w:b/>
          <w:bCs/>
          <w:sz w:val="30"/>
          <w:szCs w:val="30"/>
          <w:highlight w:val="none"/>
        </w:rPr>
        <w:t>州市投资有限公司</w:t>
      </w:r>
    </w:p>
    <w:p>
      <w:pPr>
        <w:widowControl w:val="0"/>
        <w:numPr>
          <w:ilvl w:val="255"/>
          <w:numId w:val="0"/>
        </w:numPr>
        <w:ind w:firstLine="600" w:firstLineChars="200"/>
        <w:rPr>
          <w:rFonts w:ascii="仿宋_GB2312" w:hAnsi="仿宋_GB2312" w:eastAsia="仿宋_GB2312" w:cs="仿宋_GB2312"/>
          <w:sz w:val="30"/>
          <w:szCs w:val="30"/>
          <w:highlight w:val="none"/>
        </w:rPr>
      </w:pPr>
      <w:r>
        <w:rPr>
          <w:rFonts w:hint="eastAsia" w:ascii="仿宋_GB2312" w:eastAsia="仿宋_GB2312"/>
          <w:sz w:val="30"/>
          <w:szCs w:val="30"/>
          <w:highlight w:val="none"/>
        </w:rPr>
        <w:t>（1）</w:t>
      </w:r>
      <w:r>
        <w:rPr>
          <w:rFonts w:hint="eastAsia" w:ascii="仿宋_GB2312" w:hAnsi="仿宋_GB2312" w:eastAsia="仿宋_GB2312" w:cs="仿宋_GB2312"/>
          <w:sz w:val="30"/>
          <w:szCs w:val="30"/>
          <w:highlight w:val="none"/>
        </w:rPr>
        <w:t>公司基本情况</w:t>
      </w:r>
    </w:p>
    <w:p>
      <w:pPr>
        <w:widowControl w:val="0"/>
        <w:ind w:firstLine="600" w:firstLineChars="2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苏州市投资有限公司，成立于1989年7月，注册地址苏州工业园区娄葑北摆宴街华成大厦1幢114室，法人代表人王渝涵，注册资本人民币</w:t>
      </w:r>
      <w:r>
        <w:rPr>
          <w:rFonts w:ascii="仿宋_GB2312" w:hAnsi="仿宋_GB2312" w:eastAsia="仿宋_GB2312" w:cs="仿宋_GB2312"/>
          <w:sz w:val="30"/>
          <w:szCs w:val="30"/>
          <w:highlight w:val="none"/>
        </w:rPr>
        <w:t>50</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000</w:t>
      </w:r>
      <w:r>
        <w:rPr>
          <w:rFonts w:hint="eastAsia" w:ascii="仿宋_GB2312" w:hAnsi="仿宋_GB2312" w:eastAsia="仿宋_GB2312" w:cs="仿宋_GB2312"/>
          <w:sz w:val="30"/>
          <w:szCs w:val="30"/>
          <w:highlight w:val="none"/>
        </w:rPr>
        <w:t>万元，其中苏州国际发展集团有限公司出资人民币</w:t>
      </w:r>
      <w:r>
        <w:rPr>
          <w:rFonts w:ascii="仿宋_GB2312" w:hAnsi="仿宋_GB2312" w:eastAsia="仿宋_GB2312" w:cs="仿宋_GB2312"/>
          <w:sz w:val="30"/>
          <w:szCs w:val="30"/>
          <w:highlight w:val="none"/>
        </w:rPr>
        <w:t>10</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000</w:t>
      </w:r>
      <w:r>
        <w:rPr>
          <w:rFonts w:hint="eastAsia" w:ascii="仿宋_GB2312" w:hAnsi="仿宋_GB2312" w:eastAsia="仿宋_GB2312" w:cs="仿宋_GB2312"/>
          <w:sz w:val="30"/>
          <w:szCs w:val="30"/>
          <w:highlight w:val="none"/>
        </w:rPr>
        <w:t>万元（占比20%）、王渝涵出资人民币</w:t>
      </w:r>
      <w:r>
        <w:rPr>
          <w:rFonts w:ascii="仿宋_GB2312" w:hAnsi="仿宋_GB2312" w:eastAsia="仿宋_GB2312" w:cs="仿宋_GB2312"/>
          <w:sz w:val="30"/>
          <w:szCs w:val="30"/>
          <w:highlight w:val="none"/>
        </w:rPr>
        <w:t>9</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900</w:t>
      </w:r>
      <w:r>
        <w:rPr>
          <w:rFonts w:hint="eastAsia" w:ascii="仿宋_GB2312" w:hAnsi="仿宋_GB2312" w:eastAsia="仿宋_GB2312" w:cs="仿宋_GB2312"/>
          <w:sz w:val="30"/>
          <w:szCs w:val="30"/>
          <w:highlight w:val="none"/>
        </w:rPr>
        <w:t>万元（占比19.8%）、苏州汉润文化旅游发展有限公司出资人民币</w:t>
      </w:r>
      <w:r>
        <w:rPr>
          <w:rFonts w:ascii="仿宋_GB2312" w:hAnsi="仿宋_GB2312" w:eastAsia="仿宋_GB2312" w:cs="仿宋_GB2312"/>
          <w:sz w:val="30"/>
          <w:szCs w:val="30"/>
          <w:highlight w:val="none"/>
        </w:rPr>
        <w:t>9</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730</w:t>
      </w:r>
      <w:r>
        <w:rPr>
          <w:rFonts w:hint="eastAsia" w:ascii="仿宋_GB2312" w:hAnsi="仿宋_GB2312" w:eastAsia="仿宋_GB2312" w:cs="仿宋_GB2312"/>
          <w:sz w:val="30"/>
          <w:szCs w:val="30"/>
          <w:highlight w:val="none"/>
        </w:rPr>
        <w:t>万元（占比19.46%）、苏州板青牛科技发展有限公司出资人民币</w:t>
      </w:r>
      <w:r>
        <w:rPr>
          <w:rFonts w:ascii="仿宋_GB2312" w:hAnsi="仿宋_GB2312" w:eastAsia="仿宋_GB2312" w:cs="仿宋_GB2312"/>
          <w:sz w:val="30"/>
          <w:szCs w:val="30"/>
          <w:highlight w:val="none"/>
        </w:rPr>
        <w:t>8</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338.5</w:t>
      </w:r>
      <w:r>
        <w:rPr>
          <w:rFonts w:hint="eastAsia" w:ascii="仿宋_GB2312" w:hAnsi="仿宋_GB2312" w:eastAsia="仿宋_GB2312" w:cs="仿宋_GB2312"/>
          <w:sz w:val="30"/>
          <w:szCs w:val="30"/>
          <w:highlight w:val="none"/>
        </w:rPr>
        <w:t>万元（占比16.68%）、苏州晨星工业科技有限公司出资人民币</w:t>
      </w:r>
      <w:r>
        <w:rPr>
          <w:rFonts w:ascii="仿宋_GB2312" w:hAnsi="仿宋_GB2312" w:eastAsia="仿宋_GB2312" w:cs="仿宋_GB2312"/>
          <w:sz w:val="30"/>
          <w:szCs w:val="30"/>
          <w:highlight w:val="none"/>
        </w:rPr>
        <w:t>6</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584</w:t>
      </w:r>
      <w:r>
        <w:rPr>
          <w:rFonts w:hint="eastAsia" w:ascii="仿宋_GB2312" w:hAnsi="仿宋_GB2312" w:eastAsia="仿宋_GB2312" w:cs="仿宋_GB2312"/>
          <w:sz w:val="30"/>
          <w:szCs w:val="30"/>
          <w:highlight w:val="none"/>
        </w:rPr>
        <w:t>万元（占比13.17%）、张家港保税区千德投资有限公司出资人民币</w:t>
      </w:r>
      <w:r>
        <w:rPr>
          <w:rFonts w:ascii="仿宋_GB2312" w:hAnsi="仿宋_GB2312" w:eastAsia="仿宋_GB2312" w:cs="仿宋_GB2312"/>
          <w:sz w:val="30"/>
          <w:szCs w:val="30"/>
          <w:highlight w:val="none"/>
        </w:rPr>
        <w:t>3</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416</w:t>
      </w:r>
      <w:r>
        <w:rPr>
          <w:rFonts w:hint="eastAsia" w:ascii="仿宋_GB2312" w:hAnsi="仿宋_GB2312" w:eastAsia="仿宋_GB2312" w:cs="仿宋_GB2312"/>
          <w:sz w:val="30"/>
          <w:szCs w:val="30"/>
          <w:highlight w:val="none"/>
        </w:rPr>
        <w:t>万元（占比6.83%）、葛敏出资人民币972.4万元（占比1.94%）、苏州都盛商贸有限公司出资人民币854万元（占比1.71%）、陆平出资人民币160.1万元（占比0.32%）、许叶静出资人民币20万元（占比0.04%)、蔡宏出资人民币15万元（占比0.03%)、沈瑞霞出资人民币5万元（占比0.01%）、张曦出资人民币5万元（占比0.01%）。经营范围：开展地方配套项目 、本市重点生产性建设项目及横向经济联合、三来一补等项目的投资业务，销售公司投资所分享的产品、提供经济技术咨询服务、实业投资、有价证券投资。销售金属材料、建筑材料、五金交电、纺织品、通讯器材、计算机、日用百货；财务咨询、企业投资信息咨询；贵金属设计及产品销售；珠宝首饰制造；装帧流通人民币等。</w:t>
      </w:r>
    </w:p>
    <w:p>
      <w:pPr>
        <w:widowControl w:val="0"/>
        <w:numPr>
          <w:ilvl w:val="0"/>
          <w:numId w:val="0"/>
        </w:numPr>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（2）公司财务情况</w:t>
      </w:r>
    </w:p>
    <w:p>
      <w:pPr>
        <w:widowControl w:val="0"/>
        <w:numPr>
          <w:ilvl w:val="0"/>
          <w:numId w:val="0"/>
        </w:numPr>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2025年6月末，公司总资产1,424,59万元，净资产1,047,61万元；2025年</w:t>
      </w: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末实现营业收入2,920,57万元，净利润12,76万元。(未经审计）</w:t>
      </w:r>
    </w:p>
    <w:p>
      <w:pPr>
        <w:widowControl w:val="0"/>
        <w:numPr>
          <w:ilvl w:val="0"/>
          <w:numId w:val="0"/>
        </w:numPr>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（3）公司与本行关系</w:t>
      </w:r>
    </w:p>
    <w:p>
      <w:pPr>
        <w:widowControl w:val="0"/>
        <w:numPr>
          <w:ilvl w:val="0"/>
          <w:numId w:val="0"/>
        </w:numPr>
        <w:ind w:firstLine="600" w:firstLineChars="200"/>
        <w:jc w:val="both"/>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 xml:space="preserve">公司为苏州汉润文化旅游发展有限公司的关联体。 </w:t>
      </w:r>
    </w:p>
    <w:p>
      <w:pPr>
        <w:widowControl w:val="0"/>
        <w:numPr>
          <w:ilvl w:val="255"/>
          <w:numId w:val="0"/>
        </w:numPr>
        <w:ind w:left="600" w:right="1200"/>
        <w:jc w:val="both"/>
        <w:rPr>
          <w:rFonts w:ascii="仿宋_GB2312" w:eastAsia="仿宋_GB2312"/>
          <w:b/>
          <w:kern w:val="2"/>
          <w:sz w:val="30"/>
          <w:szCs w:val="30"/>
          <w:highlight w:val="none"/>
        </w:rPr>
      </w:pPr>
      <w:r>
        <w:rPr>
          <w:rFonts w:hint="eastAsia" w:ascii="仿宋_GB2312" w:eastAsia="仿宋_GB2312"/>
          <w:b/>
          <w:kern w:val="2"/>
          <w:sz w:val="30"/>
          <w:szCs w:val="30"/>
          <w:highlight w:val="none"/>
        </w:rPr>
        <w:t>2、苏州苏投贵金属文化发展有限公司</w:t>
      </w:r>
    </w:p>
    <w:p>
      <w:pPr>
        <w:widowControl w:val="0"/>
        <w:numPr>
          <w:ilvl w:val="255"/>
          <w:numId w:val="0"/>
        </w:numPr>
        <w:ind w:firstLine="600" w:firstLineChars="200"/>
        <w:rPr>
          <w:rFonts w:ascii="仿宋_GB2312" w:eastAsia="仿宋_GB2312"/>
          <w:b/>
          <w:kern w:val="2"/>
          <w:sz w:val="30"/>
          <w:szCs w:val="30"/>
          <w:highlight w:val="none"/>
        </w:rPr>
      </w:pPr>
      <w:r>
        <w:rPr>
          <w:rFonts w:hint="eastAsia" w:ascii="仿宋_GB2312" w:eastAsia="仿宋_GB2312"/>
          <w:sz w:val="30"/>
          <w:szCs w:val="30"/>
          <w:highlight w:val="none"/>
        </w:rPr>
        <w:t>（1）</w:t>
      </w:r>
      <w:r>
        <w:rPr>
          <w:rFonts w:hint="eastAsia" w:ascii="仿宋_GB2312" w:hAnsi="仿宋_GB2312" w:eastAsia="仿宋_GB2312" w:cs="仿宋_GB2312"/>
          <w:sz w:val="30"/>
          <w:szCs w:val="30"/>
          <w:highlight w:val="none"/>
        </w:rPr>
        <w:t>公司基本情况</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苏州苏投贵金属文化发展有限公司，成立于2013年3月28日，注册地址苏州市姑苏区东大街83号1幢101室，法定代表人顾建花，注册资本金人民币</w:t>
      </w:r>
      <w:r>
        <w:rPr>
          <w:rFonts w:ascii="仿宋_GB2312" w:hAnsi="仿宋_GB2312" w:eastAsia="仿宋_GB2312" w:cs="仿宋_GB2312"/>
          <w:sz w:val="30"/>
          <w:szCs w:val="30"/>
          <w:highlight w:val="none"/>
        </w:rPr>
        <w:t>10</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000</w:t>
      </w:r>
      <w:r>
        <w:rPr>
          <w:rFonts w:hint="eastAsia" w:ascii="仿宋_GB2312" w:hAnsi="仿宋_GB2312" w:eastAsia="仿宋_GB2312" w:cs="仿宋_GB2312"/>
          <w:sz w:val="30"/>
          <w:szCs w:val="30"/>
          <w:highlight w:val="none"/>
        </w:rPr>
        <w:t>万元，由苏州市投资有限公司出资</w:t>
      </w:r>
      <w:r>
        <w:rPr>
          <w:rFonts w:hint="eastAsia" w:ascii="仿宋_GB2312" w:hAnsi="仿宋_GB2312" w:eastAsia="仿宋_GB2312" w:cs="仿宋_GB2312"/>
          <w:sz w:val="30"/>
          <w:szCs w:val="30"/>
          <w:highlight w:val="none"/>
          <w:lang w:val="en-US" w:eastAsia="zh-CN"/>
        </w:rPr>
        <w:t>4000万元（占比40%）、</w:t>
      </w:r>
      <w:r>
        <w:rPr>
          <w:rFonts w:hint="eastAsia" w:ascii="仿宋_GB2312" w:hAnsi="仿宋_GB2312" w:eastAsia="仿宋_GB2312" w:cs="仿宋_GB2312"/>
          <w:sz w:val="30"/>
          <w:szCs w:val="30"/>
          <w:highlight w:val="none"/>
        </w:rPr>
        <w:t>苏州汉润文化旅游发展有限公司出资</w:t>
      </w:r>
      <w:r>
        <w:rPr>
          <w:rFonts w:hint="eastAsia" w:ascii="仿宋_GB2312" w:hAnsi="仿宋_GB2312" w:eastAsia="仿宋_GB2312" w:cs="仿宋_GB2312"/>
          <w:sz w:val="30"/>
          <w:szCs w:val="30"/>
          <w:highlight w:val="none"/>
          <w:lang w:val="en-US" w:eastAsia="zh-CN"/>
        </w:rPr>
        <w:t>3000万元（占比30%），上海达慧文化发展有限公司出资3000万元（占比30%）</w:t>
      </w:r>
      <w:r>
        <w:rPr>
          <w:rFonts w:hint="eastAsia" w:ascii="仿宋_GB2312" w:hAnsi="仿宋_GB2312" w:eastAsia="仿宋_GB2312" w:cs="仿宋_GB2312"/>
          <w:sz w:val="30"/>
          <w:szCs w:val="30"/>
          <w:highlight w:val="none"/>
        </w:rPr>
        <w:t>。经营范围：许可项目</w:t>
      </w:r>
      <w:r>
        <w:rPr>
          <w:rFonts w:ascii="仿宋_GB2312" w:hAnsi="仿宋_GB2312" w:eastAsia="仿宋_GB2312" w:cs="仿宋_GB2312"/>
          <w:sz w:val="30"/>
          <w:szCs w:val="30"/>
          <w:highlight w:val="none"/>
        </w:rPr>
        <w:t>:第二类增值电信业务;互联网信息服务（依法须经批准的项目,经相关部门批准后方可开展经营活动,具体经营项目以审批结果为准）</w:t>
      </w:r>
      <w:r>
        <w:rPr>
          <w:rFonts w:hint="eastAsia" w:ascii="仿宋_GB2312" w:hAnsi="仿宋_GB2312" w:eastAsia="仿宋_GB2312" w:cs="仿宋_GB2312"/>
          <w:sz w:val="30"/>
          <w:szCs w:val="30"/>
          <w:highlight w:val="none"/>
        </w:rPr>
        <w:t>一般项目</w:t>
      </w:r>
      <w:r>
        <w:rPr>
          <w:rFonts w:ascii="仿宋_GB2312" w:hAnsi="仿宋_GB2312" w:eastAsia="仿宋_GB2312" w:cs="仿宋_GB2312"/>
          <w:sz w:val="30"/>
          <w:szCs w:val="30"/>
          <w:highlight w:val="none"/>
        </w:rPr>
        <w:t>:组织文化艺术交流活动;会议及展览服务;文艺创作;咨询策划服务;专业设计服务;工艺美术品及收藏品零售（象牙及其制品除外）;工艺美术品及收藏品批发（象牙及其制品除外）;工艺美术品及礼仪用品销售（象牙及其制品除外）;珠宝首饰批发;珠宝首饰零售;装帧流通人民币;珠宝首饰回收修理服务;钟表销售;互联网销售（除销售需要许可的商品）;金属制品销售;金属材料销售;办公用品销售;信息系统集成服务;软件开发;数据处理服务;技术服务、技术开发、技术咨询、技术交流、技术转让、技术推广;信息技术咨询服务;汽车零配件批发;汽车零配件零售</w:t>
      </w:r>
      <w:r>
        <w:rPr>
          <w:rFonts w:hint="eastAsia" w:ascii="仿宋_GB2312" w:hAnsi="仿宋_GB2312" w:eastAsia="仿宋_GB2312" w:cs="仿宋_GB2312"/>
          <w:sz w:val="30"/>
          <w:szCs w:val="30"/>
          <w:highlight w:val="none"/>
        </w:rPr>
        <w:t>。</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（2）公司财务情况</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202</w:t>
      </w: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月末，公司总资产519,17万元，净资产180,72万元；2024年1-</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月实现营业收入1,495,93万元，净利润5,02万元。(未经审计）</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（3）公司与本行关系</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公司为苏州汉润文化旅游发展有限公司的关联体。 </w:t>
      </w:r>
    </w:p>
    <w:p>
      <w:pPr>
        <w:widowControl w:val="0"/>
        <w:numPr>
          <w:ilvl w:val="255"/>
          <w:numId w:val="0"/>
        </w:numPr>
        <w:ind w:left="600" w:right="1200"/>
        <w:jc w:val="both"/>
        <w:rPr>
          <w:rFonts w:ascii="仿宋_GB2312" w:eastAsia="仿宋_GB2312"/>
          <w:b/>
          <w:kern w:val="2"/>
          <w:sz w:val="30"/>
          <w:szCs w:val="30"/>
          <w:highlight w:val="none"/>
        </w:rPr>
      </w:pPr>
      <w:r>
        <w:rPr>
          <w:rFonts w:hint="eastAsia" w:ascii="仿宋_GB2312" w:eastAsia="仿宋_GB2312"/>
          <w:b/>
          <w:kern w:val="2"/>
          <w:sz w:val="30"/>
          <w:szCs w:val="30"/>
          <w:highlight w:val="none"/>
          <w:lang w:val="en-US" w:eastAsia="zh-CN"/>
        </w:rPr>
        <w:t>3</w:t>
      </w:r>
      <w:r>
        <w:rPr>
          <w:rFonts w:hint="eastAsia" w:ascii="仿宋_GB2312" w:eastAsia="仿宋_GB2312"/>
          <w:b/>
          <w:kern w:val="2"/>
          <w:sz w:val="30"/>
          <w:szCs w:val="30"/>
          <w:highlight w:val="none"/>
        </w:rPr>
        <w:t>、东</w:t>
      </w:r>
      <w:r>
        <w:rPr>
          <w:rFonts w:hint="eastAsia" w:ascii="仿宋_GB2312" w:hAnsi="仿宋_GB2312" w:eastAsia="仿宋_GB2312" w:cs="仿宋_GB2312"/>
          <w:b/>
          <w:bCs/>
          <w:sz w:val="30"/>
          <w:szCs w:val="30"/>
          <w:highlight w:val="none"/>
        </w:rPr>
        <w:t>吴黄金集团有限公司</w:t>
      </w:r>
    </w:p>
    <w:p>
      <w:pPr>
        <w:widowControl w:val="0"/>
        <w:numPr>
          <w:ilvl w:val="255"/>
          <w:numId w:val="0"/>
        </w:numPr>
        <w:ind w:firstLine="600" w:firstLineChars="200"/>
        <w:rPr>
          <w:rFonts w:ascii="仿宋_GB2312" w:eastAsia="仿宋_GB2312"/>
          <w:b/>
          <w:kern w:val="2"/>
          <w:sz w:val="30"/>
          <w:szCs w:val="30"/>
          <w:highlight w:val="none"/>
        </w:rPr>
      </w:pPr>
      <w:r>
        <w:rPr>
          <w:rFonts w:hint="eastAsia" w:ascii="仿宋_GB2312" w:eastAsia="仿宋_GB2312"/>
          <w:sz w:val="30"/>
          <w:szCs w:val="30"/>
          <w:highlight w:val="none"/>
        </w:rPr>
        <w:t>（1）</w:t>
      </w:r>
      <w:r>
        <w:rPr>
          <w:rFonts w:hint="eastAsia" w:ascii="仿宋_GB2312" w:hAnsi="仿宋_GB2312" w:eastAsia="仿宋_GB2312" w:cs="仿宋_GB2312"/>
          <w:sz w:val="30"/>
          <w:szCs w:val="30"/>
          <w:highlight w:val="none"/>
        </w:rPr>
        <w:t>公司基本情况</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东吴黄金集团有限公司，成立于2012年8月7日，注册地址苏州工业园区港浪路1号1幢1楼，法定代表人王渝涵，注册资本人民币</w:t>
      </w:r>
      <w:r>
        <w:rPr>
          <w:rFonts w:ascii="仿宋_GB2312" w:hAnsi="仿宋_GB2312" w:eastAsia="仿宋_GB2312" w:cs="仿宋_GB2312"/>
          <w:sz w:val="30"/>
          <w:szCs w:val="30"/>
          <w:highlight w:val="none"/>
        </w:rPr>
        <w:t>10</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000</w:t>
      </w:r>
      <w:r>
        <w:rPr>
          <w:rFonts w:hint="eastAsia" w:ascii="仿宋_GB2312" w:hAnsi="仿宋_GB2312" w:eastAsia="仿宋_GB2312" w:cs="仿宋_GB2312"/>
          <w:sz w:val="30"/>
          <w:szCs w:val="30"/>
          <w:highlight w:val="none"/>
        </w:rPr>
        <w:t>万元，由苏州市投资有限公司全额出资。经营范围：文化艺术交流活动策划</w:t>
      </w:r>
      <w:r>
        <w:rPr>
          <w:rFonts w:ascii="仿宋_GB2312" w:hAnsi="仿宋_GB2312" w:eastAsia="仿宋_GB2312" w:cs="仿宋_GB2312"/>
          <w:sz w:val="30"/>
          <w:szCs w:val="30"/>
          <w:highlight w:val="none"/>
        </w:rPr>
        <w:t>;贵金属纪念币（不含流通）、邮票的销售;金银制品、珠宝、玉石、翡翠、文化礼品的设计、检测及相关咨询、生产加工、销售及进出口业务;贵金属精炼及回收业务;办公用品的设计与销售;贵金属制造行业工业设备及零部件、料件的租赁及提供技术、维修等配套服务;电子商务技术开发;互联网信息服务;增值电信业务。一般项目:经营流通人民币;装帧流通人民币</w:t>
      </w:r>
      <w:r>
        <w:rPr>
          <w:rFonts w:hint="eastAsia" w:ascii="仿宋_GB2312" w:hAnsi="仿宋_GB2312" w:eastAsia="仿宋_GB2312" w:cs="仿宋_GB2312"/>
          <w:sz w:val="30"/>
          <w:szCs w:val="30"/>
          <w:highlight w:val="none"/>
        </w:rPr>
        <w:t>。</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（2）公司财务情况</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2025年6月末，公司总资产1,659,66万元，净资产463,61万元；2025年</w:t>
      </w:r>
      <w:r>
        <w:rPr>
          <w:rFonts w:hint="eastAsia" w:ascii="仿宋_GB2312" w:hAnsi="仿宋_GB2312" w:eastAsia="仿宋_GB2312" w:cs="仿宋_GB2312"/>
          <w:sz w:val="30"/>
          <w:szCs w:val="30"/>
          <w:highlight w:val="none"/>
        </w:rPr>
        <w:t>1-</w:t>
      </w:r>
      <w:r>
        <w:rPr>
          <w:rFonts w:hint="eastAsia"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末实现营业收入8,707,42万元，净利润21,67万元。(未经审计）</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（3）公司与本行关系</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 xml:space="preserve">公司为苏州汉润文化旅游发展有限公司的关联体。 </w:t>
      </w:r>
    </w:p>
    <w:p>
      <w:pPr>
        <w:widowControl w:val="0"/>
        <w:numPr>
          <w:ilvl w:val="255"/>
          <w:numId w:val="0"/>
        </w:numPr>
        <w:ind w:left="600" w:right="1200"/>
        <w:jc w:val="both"/>
        <w:rPr>
          <w:rFonts w:ascii="仿宋_GB2312" w:eastAsia="仿宋_GB2312"/>
          <w:b/>
          <w:kern w:val="2"/>
          <w:sz w:val="30"/>
          <w:szCs w:val="30"/>
          <w:highlight w:val="none"/>
        </w:rPr>
      </w:pPr>
      <w:r>
        <w:rPr>
          <w:rFonts w:hint="eastAsia" w:ascii="仿宋_GB2312" w:eastAsia="仿宋_GB2312"/>
          <w:b/>
          <w:kern w:val="2"/>
          <w:sz w:val="30"/>
          <w:szCs w:val="30"/>
          <w:highlight w:val="none"/>
          <w:lang w:val="en-US" w:eastAsia="zh-CN"/>
        </w:rPr>
        <w:t>4</w:t>
      </w:r>
      <w:r>
        <w:rPr>
          <w:rFonts w:hint="eastAsia" w:ascii="仿宋_GB2312" w:eastAsia="仿宋_GB2312"/>
          <w:b/>
          <w:kern w:val="2"/>
          <w:sz w:val="30"/>
          <w:szCs w:val="30"/>
          <w:highlight w:val="none"/>
        </w:rPr>
        <w:t>、苏</w:t>
      </w:r>
      <w:r>
        <w:rPr>
          <w:rFonts w:hint="eastAsia" w:ascii="仿宋_GB2312" w:hAnsi="仿宋_GB2312" w:eastAsia="仿宋_GB2312" w:cs="仿宋_GB2312"/>
          <w:b/>
          <w:bCs/>
          <w:sz w:val="30"/>
          <w:szCs w:val="30"/>
          <w:highlight w:val="none"/>
        </w:rPr>
        <w:t>州东吴黄金进出口有限公司</w:t>
      </w:r>
    </w:p>
    <w:p>
      <w:pPr>
        <w:widowControl w:val="0"/>
        <w:numPr>
          <w:ilvl w:val="255"/>
          <w:numId w:val="0"/>
        </w:numPr>
        <w:ind w:firstLine="600" w:firstLineChars="200"/>
        <w:rPr>
          <w:rFonts w:ascii="仿宋_GB2312" w:eastAsia="仿宋_GB2312"/>
          <w:b/>
          <w:kern w:val="2"/>
          <w:sz w:val="30"/>
          <w:szCs w:val="30"/>
          <w:highlight w:val="none"/>
        </w:rPr>
      </w:pPr>
      <w:r>
        <w:rPr>
          <w:rFonts w:hint="eastAsia" w:ascii="仿宋_GB2312" w:eastAsia="仿宋_GB2312"/>
          <w:sz w:val="30"/>
          <w:szCs w:val="30"/>
          <w:highlight w:val="none"/>
        </w:rPr>
        <w:t>（1）</w:t>
      </w:r>
      <w:r>
        <w:rPr>
          <w:rFonts w:hint="eastAsia" w:ascii="仿宋_GB2312" w:hAnsi="仿宋_GB2312" w:eastAsia="仿宋_GB2312" w:cs="仿宋_GB2312"/>
          <w:sz w:val="30"/>
          <w:szCs w:val="30"/>
          <w:highlight w:val="none"/>
        </w:rPr>
        <w:t>公司基本情况</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苏州东吴黄金进出口有限公司，成立于2014年5月4日，注册地址苏州工业园区娄葑北区创投工业坊59幢，法定代表人</w:t>
      </w:r>
      <w:r>
        <w:rPr>
          <w:rFonts w:hint="eastAsia" w:ascii="仿宋_GB2312" w:hAnsi="仿宋_GB2312" w:eastAsia="仿宋_GB2312" w:cs="仿宋_GB2312"/>
          <w:sz w:val="30"/>
          <w:szCs w:val="30"/>
          <w:highlight w:val="none"/>
          <w:lang w:eastAsia="zh-CN"/>
        </w:rPr>
        <w:t>陈续元</w:t>
      </w:r>
      <w:r>
        <w:rPr>
          <w:rFonts w:hint="eastAsia" w:ascii="仿宋_GB2312" w:hAnsi="仿宋_GB2312" w:eastAsia="仿宋_GB2312" w:cs="仿宋_GB2312"/>
          <w:sz w:val="30"/>
          <w:szCs w:val="30"/>
          <w:highlight w:val="none"/>
        </w:rPr>
        <w:t>，注册资本人民币</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rPr>
        <w:t>,</w:t>
      </w:r>
      <w:r>
        <w:rPr>
          <w:rFonts w:ascii="仿宋_GB2312" w:hAnsi="仿宋_GB2312" w:eastAsia="仿宋_GB2312" w:cs="仿宋_GB2312"/>
          <w:sz w:val="30"/>
          <w:szCs w:val="30"/>
          <w:highlight w:val="none"/>
        </w:rPr>
        <w:t>000</w:t>
      </w:r>
      <w:r>
        <w:rPr>
          <w:rFonts w:hint="eastAsia" w:ascii="仿宋_GB2312" w:hAnsi="仿宋_GB2312" w:eastAsia="仿宋_GB2312" w:cs="仿宋_GB2312"/>
          <w:sz w:val="30"/>
          <w:szCs w:val="30"/>
          <w:highlight w:val="none"/>
        </w:rPr>
        <w:t>万元，由东吴黄金集团有限公司全额出资。经营范围：金银制品、珠宝、玉石、工艺礼品的设计、加工、销售及进出口业务。</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（2）公司财务情况</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2025年6月末，公司总资产327,82万元，净资产127,71万元；2025年1-6月末实现营业收入1,847,57万元，净利润1,65万元。(未经审计）</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（3）公司与本行关系</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公司为苏州汉润文化旅游发展有限公司的关联体。</w:t>
      </w:r>
    </w:p>
    <w:p>
      <w:pPr>
        <w:widowControl w:val="0"/>
        <w:numPr>
          <w:ilvl w:val="255"/>
          <w:numId w:val="0"/>
        </w:numPr>
        <w:ind w:left="600" w:right="1200"/>
        <w:jc w:val="both"/>
        <w:rPr>
          <w:rFonts w:hint="eastAsia" w:ascii="仿宋_GB2312" w:eastAsia="仿宋_GB2312"/>
          <w:b/>
          <w:kern w:val="2"/>
          <w:sz w:val="30"/>
          <w:szCs w:val="30"/>
          <w:highlight w:val="none"/>
          <w:lang w:val="en-US" w:eastAsia="zh-CN"/>
        </w:rPr>
      </w:pPr>
      <w:r>
        <w:rPr>
          <w:rFonts w:hint="eastAsia" w:ascii="仿宋_GB2312" w:eastAsia="仿宋_GB2312"/>
          <w:b/>
          <w:kern w:val="2"/>
          <w:sz w:val="30"/>
          <w:szCs w:val="30"/>
          <w:highlight w:val="none"/>
          <w:lang w:val="en-US" w:eastAsia="zh-CN"/>
        </w:rPr>
        <w:t>5、苏州高铁新城金采贵金属有限公司</w:t>
      </w:r>
    </w:p>
    <w:p>
      <w:pPr>
        <w:widowControl w:val="0"/>
        <w:numPr>
          <w:ilvl w:val="0"/>
          <w:numId w:val="1"/>
        </w:numPr>
        <w:ind w:firstLine="600" w:firstLineChars="200"/>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公司基本情况</w:t>
      </w:r>
    </w:p>
    <w:p>
      <w:pPr>
        <w:widowControl w:val="0"/>
        <w:ind w:firstLine="600"/>
        <w:jc w:val="both"/>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苏州高铁新城金采贵金属有限公司</w:t>
      </w:r>
      <w:r>
        <w:rPr>
          <w:rFonts w:hint="eastAsia" w:ascii="仿宋_GB2312" w:hAnsi="仿宋_GB2312" w:eastAsia="仿宋_GB2312" w:cs="仿宋_GB2312"/>
          <w:sz w:val="30"/>
          <w:szCs w:val="30"/>
          <w:highlight w:val="none"/>
        </w:rPr>
        <w:t>，成立于20</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4年</w:t>
      </w:r>
      <w:r>
        <w:rPr>
          <w:rFonts w:hint="eastAsia" w:ascii="仿宋_GB2312" w:hAnsi="仿宋_GB2312" w:eastAsia="仿宋_GB2312" w:cs="仿宋_GB2312"/>
          <w:sz w:val="30"/>
          <w:szCs w:val="30"/>
          <w:highlight w:val="none"/>
          <w:lang w:val="en-US" w:eastAsia="zh-CN"/>
        </w:rPr>
        <w:t>9</w:t>
      </w:r>
      <w:r>
        <w:rPr>
          <w:rFonts w:hint="eastAsia" w:ascii="仿宋_GB2312" w:hAnsi="仿宋_GB2312" w:eastAsia="仿宋_GB2312" w:cs="仿宋_GB2312"/>
          <w:sz w:val="30"/>
          <w:szCs w:val="30"/>
          <w:highlight w:val="none"/>
        </w:rPr>
        <w:t>月</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日，注册地址苏州市相城区北河泾街道高铁新城南天成路118号智高商务广场1幢101室-C，法定代表人沈敏，注册资本人民币</w:t>
      </w:r>
      <w:r>
        <w:rPr>
          <w:rFonts w:hint="eastAsia" w:ascii="仿宋_GB2312" w:hAnsi="仿宋_GB2312" w:eastAsia="仿宋_GB2312" w:cs="仿宋_GB2312"/>
          <w:sz w:val="30"/>
          <w:szCs w:val="30"/>
          <w:highlight w:val="none"/>
          <w:lang w:val="en-US" w:eastAsia="zh-CN"/>
        </w:rPr>
        <w:t>10</w:t>
      </w:r>
      <w:r>
        <w:rPr>
          <w:rFonts w:hint="eastAsia" w:ascii="仿宋_GB2312" w:hAnsi="仿宋_GB2312" w:eastAsia="仿宋_GB2312" w:cs="仿宋_GB2312"/>
          <w:sz w:val="30"/>
          <w:szCs w:val="30"/>
          <w:highlight w:val="none"/>
        </w:rPr>
        <w:t>,000万元，由苏州今日金采贸易合伙企业（有限合伙）出资</w:t>
      </w:r>
      <w:r>
        <w:rPr>
          <w:rFonts w:hint="eastAsia" w:ascii="仿宋_GB2312" w:hAnsi="仿宋_GB2312" w:eastAsia="仿宋_GB2312" w:cs="仿宋_GB2312"/>
          <w:sz w:val="30"/>
          <w:szCs w:val="30"/>
          <w:highlight w:val="none"/>
          <w:lang w:val="en-US" w:eastAsia="zh-CN"/>
        </w:rPr>
        <w:t>3,200万元（占比32%），</w:t>
      </w:r>
      <w:r>
        <w:rPr>
          <w:rFonts w:hint="eastAsia" w:ascii="仿宋_GB2312" w:hAnsi="仿宋_GB2312" w:eastAsia="仿宋_GB2312" w:cs="仿宋_GB2312"/>
          <w:sz w:val="30"/>
          <w:szCs w:val="30"/>
          <w:highlight w:val="none"/>
        </w:rPr>
        <w:t>苏州秀高凯投资管理合伙企业（有限合伙）</w:t>
      </w:r>
      <w:r>
        <w:rPr>
          <w:rFonts w:hint="eastAsia" w:ascii="仿宋_GB2312" w:hAnsi="仿宋_GB2312" w:eastAsia="仿宋_GB2312" w:cs="仿宋_GB2312"/>
          <w:sz w:val="30"/>
          <w:szCs w:val="30"/>
          <w:highlight w:val="none"/>
          <w:lang w:eastAsia="zh-CN"/>
        </w:rPr>
        <w:t>出资</w:t>
      </w:r>
      <w:r>
        <w:rPr>
          <w:rFonts w:hint="eastAsia" w:ascii="仿宋_GB2312" w:hAnsi="仿宋_GB2312" w:eastAsia="仿宋_GB2312" w:cs="仿宋_GB2312"/>
          <w:sz w:val="30"/>
          <w:szCs w:val="30"/>
          <w:highlight w:val="none"/>
          <w:lang w:val="en-US" w:eastAsia="zh-CN"/>
        </w:rPr>
        <w:t>2800万元（占比28%），</w:t>
      </w:r>
      <w:r>
        <w:rPr>
          <w:rFonts w:hint="eastAsia" w:ascii="仿宋_GB2312" w:hAnsi="仿宋_GB2312" w:eastAsia="仿宋_GB2312" w:cs="仿宋_GB2312"/>
          <w:sz w:val="30"/>
          <w:szCs w:val="30"/>
          <w:highlight w:val="none"/>
        </w:rPr>
        <w:t>苏州高铁新城创新创业投资有限公司</w:t>
      </w:r>
      <w:r>
        <w:rPr>
          <w:rFonts w:hint="eastAsia" w:ascii="仿宋_GB2312" w:hAnsi="仿宋_GB2312" w:eastAsia="仿宋_GB2312" w:cs="仿宋_GB2312"/>
          <w:sz w:val="30"/>
          <w:szCs w:val="30"/>
          <w:highlight w:val="none"/>
          <w:lang w:eastAsia="zh-CN"/>
        </w:rPr>
        <w:t>出资</w:t>
      </w:r>
      <w:r>
        <w:rPr>
          <w:rFonts w:hint="eastAsia" w:ascii="仿宋_GB2312" w:hAnsi="仿宋_GB2312" w:eastAsia="仿宋_GB2312" w:cs="仿宋_GB2312"/>
          <w:sz w:val="30"/>
          <w:szCs w:val="30"/>
          <w:highlight w:val="none"/>
          <w:lang w:val="en-US" w:eastAsia="zh-CN"/>
        </w:rPr>
        <w:t>2000万元（占比20%），郑俪姮出资2000万元（占比20%）</w:t>
      </w:r>
      <w:r>
        <w:rPr>
          <w:rFonts w:hint="eastAsia" w:ascii="仿宋_GB2312" w:hAnsi="仿宋_GB2312" w:eastAsia="仿宋_GB2312" w:cs="仿宋_GB2312"/>
          <w:sz w:val="30"/>
          <w:szCs w:val="30"/>
          <w:highlight w:val="none"/>
        </w:rPr>
        <w:t>。经营范围：许可项目：黄金及其制品进出口；餐饮服务（依法须经批准的项目，经相关部门批准后方可开展经营活动，具体经营项目以审批结果为准）一般项目：新型金属功能材料销售；珠宝首饰批发；工艺美术品及收藏品批发（象牙及其制品除外）；工艺美术品及礼仪用品销售（象牙及其制品除外）；技术服务、技术开发、技术咨询、技术交流、技术转让、技术推广；图文设计制作；采购代理服务；金银制品销售；金属材料销售；金属制品研发；金属制品销售；珠宝首饰零售；珠宝首饰回收修理服务；食品销售（仅销售预包装食品）</w:t>
      </w:r>
      <w:r>
        <w:rPr>
          <w:rFonts w:hint="eastAsia" w:ascii="仿宋_GB2312" w:hAnsi="仿宋_GB2312" w:eastAsia="仿宋_GB2312" w:cs="仿宋_GB2312"/>
          <w:sz w:val="30"/>
          <w:szCs w:val="30"/>
          <w:highlight w:val="none"/>
          <w:lang w:eastAsia="zh-CN"/>
        </w:rPr>
        <w:t>。</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（2）公司财务情况</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2025年6月末，公司总资产420,56万元，净资产106,84万元；2025年1-6月末实现营业收入469,70万元，净利润5,43万元。(未经审计）</w:t>
      </w:r>
    </w:p>
    <w:p>
      <w:pPr>
        <w:widowControl w:val="0"/>
        <w:ind w:firstLine="600"/>
        <w:jc w:val="both"/>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（3）公司与本行关系</w:t>
      </w:r>
    </w:p>
    <w:p>
      <w:pPr>
        <w:widowControl w:val="0"/>
        <w:ind w:firstLine="600"/>
        <w:jc w:val="both"/>
        <w:rPr>
          <w:rFonts w:ascii="仿宋_GB2312" w:eastAsia="仿宋_GB2312"/>
          <w:b/>
          <w:kern w:val="2"/>
          <w:sz w:val="30"/>
          <w:szCs w:val="30"/>
          <w:highlight w:val="none"/>
        </w:rPr>
      </w:pPr>
      <w:r>
        <w:rPr>
          <w:rFonts w:hint="eastAsia" w:ascii="仿宋_GB2312" w:hAnsi="仿宋_GB2312" w:eastAsia="仿宋_GB2312" w:cs="仿宋_GB2312"/>
          <w:sz w:val="30"/>
          <w:szCs w:val="30"/>
          <w:highlight w:val="none"/>
        </w:rPr>
        <w:t>公司为苏州汉润文化旅游发展有限公司的关联体。</w:t>
      </w:r>
      <w:r>
        <w:rPr>
          <w:rFonts w:ascii="仿宋_GB2312" w:eastAsia="仿宋_GB2312"/>
          <w:b/>
          <w:kern w:val="2"/>
          <w:sz w:val="30"/>
          <w:szCs w:val="30"/>
          <w:highlight w:val="none"/>
        </w:rPr>
        <w:t xml:space="preserve">    </w:t>
      </w:r>
    </w:p>
    <w:p>
      <w:pPr>
        <w:ind w:firstLine="600" w:firstLineChars="200"/>
        <w:jc w:val="left"/>
        <w:rPr>
          <w:rFonts w:ascii="仿宋_GB2312" w:hAnsi="Times New Roman" w:eastAsia="仿宋_GB2312" w:cs="Times New Roman"/>
          <w:sz w:val="30"/>
          <w:szCs w:val="30"/>
          <w:highlight w:val="none"/>
        </w:rPr>
      </w:pPr>
      <w:r>
        <w:rPr>
          <w:rFonts w:hint="eastAsia" w:ascii="仿宋" w:hAnsi="仿宋" w:eastAsia="仿宋" w:cs="Times New Roman"/>
          <w:sz w:val="30"/>
          <w:szCs w:val="30"/>
          <w:highlight w:val="none"/>
        </w:rPr>
        <w:t>根据编号202</w:t>
      </w:r>
      <w:r>
        <w:rPr>
          <w:rFonts w:hint="eastAsia" w:ascii="仿宋" w:hAnsi="仿宋" w:eastAsia="仿宋" w:cs="Times New Roman"/>
          <w:sz w:val="30"/>
          <w:szCs w:val="30"/>
          <w:highlight w:val="none"/>
          <w:lang w:val="en-US" w:eastAsia="zh-CN"/>
        </w:rPr>
        <w:t>5</w:t>
      </w:r>
      <w:r>
        <w:rPr>
          <w:rFonts w:hint="eastAsia" w:ascii="仿宋" w:hAnsi="仿宋" w:eastAsia="仿宋" w:cs="Times New Roman"/>
          <w:sz w:val="30"/>
          <w:szCs w:val="30"/>
          <w:highlight w:val="none"/>
        </w:rPr>
        <w:t>-0</w:t>
      </w:r>
      <w:r>
        <w:rPr>
          <w:rFonts w:hint="eastAsia" w:ascii="仿宋" w:hAnsi="仿宋" w:eastAsia="仿宋" w:cs="Times New Roman"/>
          <w:sz w:val="30"/>
          <w:szCs w:val="30"/>
          <w:highlight w:val="none"/>
          <w:lang w:val="en-US" w:eastAsia="zh-CN"/>
        </w:rPr>
        <w:t>08</w:t>
      </w:r>
      <w:r>
        <w:rPr>
          <w:rFonts w:hint="eastAsia" w:ascii="仿宋" w:hAnsi="仿宋" w:eastAsia="仿宋" w:cs="Times New Roman"/>
          <w:sz w:val="30"/>
          <w:szCs w:val="30"/>
          <w:highlight w:val="none"/>
        </w:rPr>
        <w:t>的《</w:t>
      </w:r>
      <w:r>
        <w:rPr>
          <w:rFonts w:ascii="仿宋" w:hAnsi="仿宋" w:eastAsia="仿宋" w:cs="Times New Roman"/>
          <w:sz w:val="30"/>
          <w:szCs w:val="30"/>
          <w:highlight w:val="none"/>
        </w:rPr>
        <w:t>江苏苏州农村商业银行股份有限公司关于部分关联方202</w:t>
      </w:r>
      <w:r>
        <w:rPr>
          <w:rFonts w:hint="eastAsia" w:ascii="仿宋" w:hAnsi="仿宋" w:eastAsia="仿宋" w:cs="Times New Roman"/>
          <w:sz w:val="30"/>
          <w:szCs w:val="30"/>
          <w:highlight w:val="none"/>
          <w:lang w:val="en-US" w:eastAsia="zh-CN"/>
        </w:rPr>
        <w:t>5</w:t>
      </w:r>
      <w:r>
        <w:rPr>
          <w:rFonts w:ascii="仿宋" w:hAnsi="仿宋" w:eastAsia="仿宋" w:cs="Times New Roman"/>
          <w:sz w:val="30"/>
          <w:szCs w:val="30"/>
          <w:highlight w:val="none"/>
        </w:rPr>
        <w:t>年度日常关联交易预计额度的公告</w:t>
      </w:r>
      <w:r>
        <w:rPr>
          <w:rFonts w:hint="eastAsia" w:ascii="仿宋" w:hAnsi="仿宋" w:eastAsia="仿宋" w:cs="Times New Roman"/>
          <w:sz w:val="30"/>
          <w:szCs w:val="30"/>
          <w:highlight w:val="none"/>
        </w:rPr>
        <w:t>》：“</w:t>
      </w:r>
      <w:r>
        <w:rPr>
          <w:rFonts w:hint="eastAsia" w:ascii="仿宋_GB2312" w:hAnsi="Times New Roman" w:eastAsia="仿宋_GB2312" w:cs="Times New Roman"/>
          <w:b/>
          <w:kern w:val="2"/>
          <w:sz w:val="30"/>
          <w:szCs w:val="30"/>
          <w:highlight w:val="none"/>
        </w:rPr>
        <w:t>苏州汉润文化旅游发展有限公</w:t>
      </w:r>
      <w:r>
        <w:rPr>
          <w:rFonts w:ascii="仿宋" w:hAnsi="仿宋" w:eastAsia="仿宋" w:cs="Times New Roman"/>
          <w:sz w:val="30"/>
          <w:szCs w:val="30"/>
          <w:highlight w:val="none"/>
        </w:rPr>
        <w:t>司</w:t>
      </w:r>
      <w:r>
        <w:rPr>
          <w:rFonts w:hint="eastAsia" w:ascii="仿宋" w:hAnsi="仿宋" w:eastAsia="仿宋" w:cs="Times New Roman"/>
          <w:sz w:val="30"/>
          <w:szCs w:val="30"/>
          <w:highlight w:val="none"/>
        </w:rPr>
        <w:t>关联集团最高不超过</w:t>
      </w:r>
      <w:r>
        <w:rPr>
          <w:rFonts w:hint="eastAsia" w:ascii="仿宋" w:hAnsi="仿宋" w:eastAsia="仿宋" w:cs="Times New Roman"/>
          <w:sz w:val="30"/>
          <w:szCs w:val="30"/>
          <w:highlight w:val="none"/>
          <w:lang w:val="en-US" w:eastAsia="zh-CN"/>
        </w:rPr>
        <w:t>10</w:t>
      </w:r>
      <w:r>
        <w:rPr>
          <w:rFonts w:hint="eastAsia" w:ascii="仿宋" w:hAnsi="仿宋" w:eastAsia="仿宋" w:cs="Times New Roman"/>
          <w:sz w:val="30"/>
          <w:szCs w:val="30"/>
          <w:highlight w:val="none"/>
        </w:rPr>
        <w:t>亿</w:t>
      </w:r>
      <w:r>
        <w:rPr>
          <w:rFonts w:ascii="仿宋" w:hAnsi="仿宋" w:eastAsia="仿宋" w:cs="Times New Roman"/>
          <w:sz w:val="30"/>
          <w:szCs w:val="30"/>
          <w:highlight w:val="none"/>
        </w:rPr>
        <w:t>元</w:t>
      </w:r>
      <w:r>
        <w:rPr>
          <w:rFonts w:hint="eastAsia" w:ascii="仿宋" w:hAnsi="仿宋" w:eastAsia="仿宋" w:cs="Times New Roman"/>
          <w:sz w:val="30"/>
          <w:szCs w:val="30"/>
          <w:highlight w:val="none"/>
        </w:rPr>
        <w:t>，</w:t>
      </w:r>
      <w:r>
        <w:rPr>
          <w:rFonts w:ascii="仿宋" w:hAnsi="仿宋" w:eastAsia="仿宋" w:cs="Times New Roman"/>
          <w:sz w:val="30"/>
          <w:szCs w:val="30"/>
          <w:highlight w:val="none"/>
        </w:rPr>
        <w:t>其中单</w:t>
      </w:r>
      <w:r>
        <w:rPr>
          <w:rFonts w:hint="eastAsia" w:ascii="仿宋" w:hAnsi="仿宋" w:eastAsia="仿宋" w:cs="Times New Roman"/>
          <w:sz w:val="30"/>
          <w:szCs w:val="30"/>
          <w:highlight w:val="none"/>
        </w:rPr>
        <w:t>个</w:t>
      </w:r>
      <w:r>
        <w:rPr>
          <w:rFonts w:ascii="仿宋" w:hAnsi="仿宋" w:eastAsia="仿宋" w:cs="Times New Roman"/>
          <w:sz w:val="30"/>
          <w:szCs w:val="30"/>
          <w:highlight w:val="none"/>
        </w:rPr>
        <w:t>关联方</w:t>
      </w:r>
      <w:r>
        <w:rPr>
          <w:rFonts w:hint="eastAsia" w:ascii="仿宋" w:hAnsi="仿宋" w:eastAsia="仿宋" w:cs="Times New Roman"/>
          <w:sz w:val="30"/>
          <w:szCs w:val="30"/>
          <w:highlight w:val="none"/>
        </w:rPr>
        <w:t>最高</w:t>
      </w:r>
      <w:r>
        <w:rPr>
          <w:rFonts w:ascii="仿宋" w:hAnsi="仿宋" w:eastAsia="仿宋" w:cs="Times New Roman"/>
          <w:sz w:val="30"/>
          <w:szCs w:val="30"/>
          <w:highlight w:val="none"/>
        </w:rPr>
        <w:t>不超过</w:t>
      </w:r>
      <w:r>
        <w:rPr>
          <w:rFonts w:hint="eastAsia" w:ascii="仿宋" w:hAnsi="仿宋" w:eastAsia="仿宋" w:cs="Times New Roman"/>
          <w:sz w:val="30"/>
          <w:szCs w:val="30"/>
          <w:highlight w:val="none"/>
          <w:lang w:val="en-US" w:eastAsia="zh-CN"/>
        </w:rPr>
        <w:t>6</w:t>
      </w:r>
      <w:r>
        <w:rPr>
          <w:rFonts w:hint="eastAsia" w:ascii="仿宋" w:hAnsi="仿宋" w:eastAsia="仿宋" w:cs="Times New Roman"/>
          <w:sz w:val="30"/>
          <w:szCs w:val="30"/>
          <w:highlight w:val="none"/>
        </w:rPr>
        <w:t>亿元（口径为敞口授信额度与低风险额度（不含全额保证金业务）加总）”。根据口径要求，目前</w:t>
      </w:r>
      <w:r>
        <w:rPr>
          <w:rFonts w:hint="eastAsia" w:ascii="仿宋_GB2312" w:hAnsi="Times New Roman" w:eastAsia="仿宋_GB2312" w:cs="Times New Roman"/>
          <w:b/>
          <w:kern w:val="2"/>
          <w:sz w:val="30"/>
          <w:szCs w:val="30"/>
          <w:highlight w:val="none"/>
        </w:rPr>
        <w:t>苏州汉润文化旅游发展有限公</w:t>
      </w:r>
      <w:r>
        <w:rPr>
          <w:rFonts w:ascii="仿宋" w:hAnsi="仿宋" w:eastAsia="仿宋" w:cs="Times New Roman"/>
          <w:sz w:val="30"/>
          <w:szCs w:val="30"/>
          <w:highlight w:val="none"/>
        </w:rPr>
        <w:t>司</w:t>
      </w:r>
      <w:r>
        <w:rPr>
          <w:rFonts w:hint="eastAsia" w:ascii="仿宋" w:hAnsi="仿宋" w:eastAsia="仿宋" w:cs="Times New Roman"/>
          <w:sz w:val="30"/>
          <w:szCs w:val="30"/>
          <w:highlight w:val="none"/>
        </w:rPr>
        <w:t>其关联体总授信合计</w:t>
      </w:r>
      <w:r>
        <w:rPr>
          <w:rFonts w:hint="eastAsia" w:ascii="仿宋" w:hAnsi="仿宋" w:eastAsia="仿宋" w:cs="Times New Roman"/>
          <w:sz w:val="30"/>
          <w:szCs w:val="30"/>
          <w:highlight w:val="none"/>
          <w:lang w:val="en-US" w:eastAsia="zh-CN"/>
        </w:rPr>
        <w:t>22900</w:t>
      </w:r>
      <w:r>
        <w:rPr>
          <w:rFonts w:hint="eastAsia" w:ascii="仿宋" w:hAnsi="仿宋" w:eastAsia="仿宋" w:cs="Times New Roman"/>
          <w:sz w:val="30"/>
          <w:szCs w:val="30"/>
          <w:highlight w:val="none"/>
        </w:rPr>
        <w:t>万元，其他低风险全额保证银票额度</w:t>
      </w:r>
      <w:r>
        <w:rPr>
          <w:rFonts w:hint="eastAsia" w:ascii="仿宋" w:hAnsi="仿宋" w:eastAsia="仿宋" w:cs="Times New Roman"/>
          <w:sz w:val="30"/>
          <w:szCs w:val="30"/>
          <w:highlight w:val="none"/>
          <w:lang w:val="en-US" w:eastAsia="zh-CN"/>
        </w:rPr>
        <w:t>35</w:t>
      </w:r>
      <w:r>
        <w:rPr>
          <w:rFonts w:hint="eastAsia" w:ascii="仿宋" w:hAnsi="仿宋" w:eastAsia="仿宋" w:cs="Times New Roman"/>
          <w:sz w:val="30"/>
          <w:szCs w:val="30"/>
          <w:highlight w:val="none"/>
        </w:rPr>
        <w:t>000万元</w:t>
      </w:r>
      <w:r>
        <w:rPr>
          <w:rFonts w:hint="eastAsia" w:ascii="仿宋" w:hAnsi="仿宋" w:eastAsia="仿宋" w:cs="Times New Roman"/>
          <w:sz w:val="30"/>
          <w:szCs w:val="30"/>
          <w:highlight w:val="none"/>
          <w:lang w:eastAsia="zh-CN"/>
        </w:rPr>
        <w:t>，贴现额度</w:t>
      </w:r>
      <w:r>
        <w:rPr>
          <w:rFonts w:hint="eastAsia" w:ascii="仿宋" w:hAnsi="仿宋" w:eastAsia="仿宋" w:cs="Times New Roman"/>
          <w:sz w:val="30"/>
          <w:szCs w:val="30"/>
          <w:highlight w:val="none"/>
          <w:lang w:val="en-US" w:eastAsia="zh-CN"/>
        </w:rPr>
        <w:t>48000万元</w:t>
      </w:r>
      <w:r>
        <w:rPr>
          <w:rFonts w:hint="eastAsia" w:ascii="仿宋" w:hAnsi="仿宋" w:eastAsia="仿宋" w:cs="Times New Roman"/>
          <w:sz w:val="30"/>
          <w:szCs w:val="30"/>
          <w:highlight w:val="none"/>
        </w:rPr>
        <w:t>。其中，</w:t>
      </w:r>
      <w:r>
        <w:rPr>
          <w:rFonts w:hint="eastAsia" w:ascii="仿宋" w:hAnsi="仿宋" w:eastAsia="仿宋" w:cs="Times New Roman"/>
          <w:sz w:val="30"/>
          <w:szCs w:val="30"/>
          <w:highlight w:val="none"/>
          <w:lang w:eastAsia="zh-CN"/>
        </w:rPr>
        <w:t>三季度</w:t>
      </w:r>
      <w:r>
        <w:rPr>
          <w:rFonts w:hint="eastAsia" w:ascii="仿宋" w:hAnsi="仿宋" w:eastAsia="仿宋" w:cs="Times New Roman"/>
          <w:sz w:val="30"/>
          <w:szCs w:val="30"/>
          <w:highlight w:val="none"/>
        </w:rPr>
        <w:t>增加了成员</w:t>
      </w:r>
      <w:r>
        <w:rPr>
          <w:rFonts w:hint="eastAsia" w:ascii="仿宋" w:hAnsi="仿宋" w:eastAsia="仿宋" w:cs="Times New Roman"/>
          <w:sz w:val="30"/>
          <w:szCs w:val="30"/>
          <w:highlight w:val="none"/>
          <w:lang w:val="en-US" w:eastAsia="zh-CN"/>
        </w:rPr>
        <w:t>5</w:t>
      </w:r>
      <w:r>
        <w:rPr>
          <w:rFonts w:hint="eastAsia" w:ascii="仿宋_GB2312" w:eastAsia="仿宋_GB2312"/>
          <w:b/>
          <w:kern w:val="2"/>
          <w:sz w:val="30"/>
          <w:szCs w:val="30"/>
          <w:highlight w:val="none"/>
          <w:lang w:val="en-US" w:eastAsia="zh-CN"/>
        </w:rPr>
        <w:t>苏州高铁新城金采贵金属有限公司</w:t>
      </w:r>
      <w:r>
        <w:rPr>
          <w:rFonts w:hint="eastAsia" w:ascii="仿宋" w:hAnsi="仿宋" w:eastAsia="仿宋" w:cs="Times New Roman"/>
          <w:sz w:val="30"/>
          <w:szCs w:val="30"/>
          <w:highlight w:val="none"/>
        </w:rPr>
        <w:t>银票业务，</w:t>
      </w:r>
      <w:r>
        <w:rPr>
          <w:rFonts w:hint="eastAsia" w:ascii="仿宋" w:hAnsi="仿宋" w:eastAsia="仿宋" w:cs="Times New Roman"/>
          <w:sz w:val="30"/>
          <w:szCs w:val="30"/>
          <w:highlight w:val="none"/>
          <w:lang w:eastAsia="zh-CN"/>
        </w:rPr>
        <w:t>授信金额</w:t>
      </w:r>
      <w:r>
        <w:rPr>
          <w:rFonts w:hint="eastAsia" w:ascii="仿宋" w:hAnsi="仿宋" w:eastAsia="仿宋" w:cs="Times New Roman"/>
          <w:sz w:val="30"/>
          <w:szCs w:val="30"/>
          <w:highlight w:val="none"/>
          <w:lang w:val="en-US" w:eastAsia="zh-CN"/>
        </w:rPr>
        <w:t>10000万元，担保方式</w:t>
      </w:r>
      <w:r>
        <w:rPr>
          <w:rFonts w:hint="eastAsia" w:ascii="仿宋" w:hAnsi="仿宋" w:eastAsia="仿宋" w:cs="Times New Roman"/>
          <w:sz w:val="30"/>
          <w:szCs w:val="30"/>
          <w:highlight w:val="none"/>
          <w:lang w:eastAsia="zh-CN"/>
        </w:rPr>
        <w:t>为存单质押，</w:t>
      </w:r>
      <w:r>
        <w:rPr>
          <w:rFonts w:hint="eastAsia" w:ascii="仿宋" w:hAnsi="仿宋" w:eastAsia="仿宋" w:cs="Times New Roman"/>
          <w:sz w:val="30"/>
          <w:szCs w:val="30"/>
          <w:highlight w:val="none"/>
        </w:rPr>
        <w:t>该业务额度不属于预计额度口径，构成一般关联交易，经本行内部授权程序审批后，报风险管理及关联交易控制委员会备案。</w:t>
      </w:r>
      <w:r>
        <w:rPr>
          <w:rFonts w:hint="eastAsia" w:ascii="仿宋_GB2312" w:hAnsi="Times New Roman" w:eastAsia="仿宋_GB2312" w:cs="Times New Roman"/>
          <w:sz w:val="30"/>
          <w:szCs w:val="30"/>
          <w:highlight w:val="none"/>
        </w:rPr>
        <w:t xml:space="preserve"> </w:t>
      </w:r>
    </w:p>
    <w:p>
      <w:pPr>
        <w:tabs>
          <w:tab w:val="left" w:pos="0"/>
        </w:tabs>
        <w:ind w:firstLine="600" w:firstLineChars="200"/>
        <w:rPr>
          <w:rFonts w:ascii="仿宋_GB2312"/>
          <w:sz w:val="30"/>
          <w:szCs w:val="30"/>
          <w:highlight w:val="none"/>
        </w:rPr>
      </w:pPr>
      <w:r>
        <w:rPr>
          <w:rFonts w:hint="eastAsia" w:ascii="黑体" w:hAnsi="黑体" w:eastAsia="黑体"/>
          <w:sz w:val="30"/>
          <w:szCs w:val="30"/>
          <w:highlight w:val="none"/>
        </w:rPr>
        <w:t>二、关联交易定价情况</w:t>
      </w:r>
    </w:p>
    <w:p>
      <w:pPr>
        <w:ind w:firstLine="600" w:firstLineChars="200"/>
        <w:rPr>
          <w:rFonts w:ascii="仿宋" w:hAnsi="仿宋" w:eastAsia="仿宋" w:cs="Times New Roman"/>
          <w:sz w:val="30"/>
          <w:szCs w:val="30"/>
          <w:highlight w:val="none"/>
        </w:rPr>
      </w:pPr>
      <w:r>
        <w:rPr>
          <w:rFonts w:hint="eastAsia" w:ascii="仿宋" w:hAnsi="仿宋" w:eastAsia="仿宋" w:cs="Times New Roman"/>
          <w:sz w:val="30"/>
          <w:szCs w:val="30"/>
          <w:highlight w:val="none"/>
        </w:rPr>
        <w:t>报告期内，本行与关联方的关联交易坚持遵循一般商业条款和正常业务程序进行，其定价原则与独立第三方交易一致，即以不优于对非关联方同类交易的条件进行,不存在给其他股东合法利益造成损害的情形，具备合法性与公允性。</w:t>
      </w:r>
    </w:p>
    <w:p>
      <w:pPr>
        <w:ind w:firstLine="600" w:firstLineChars="200"/>
        <w:jc w:val="left"/>
        <w:rPr>
          <w:rFonts w:hint="eastAsia" w:ascii="仿宋_GB2312" w:hAnsi="Times New Roman" w:eastAsia="仿宋" w:cs="Times New Roman"/>
          <w:sz w:val="30"/>
          <w:szCs w:val="30"/>
          <w:highlight w:val="none"/>
          <w:lang w:eastAsia="zh-CN"/>
        </w:rPr>
      </w:pPr>
      <w:bookmarkStart w:id="0" w:name="_GoBack"/>
      <w:bookmarkEnd w:id="0"/>
    </w:p>
    <w:p>
      <w:pPr>
        <w:jc w:val="right"/>
        <w:rPr>
          <w:rFonts w:ascii="仿宋_GB2312" w:hAnsi="Times New Roman" w:eastAsia="仿宋_GB2312" w:cs="Times New Roman"/>
          <w:sz w:val="30"/>
          <w:szCs w:val="30"/>
          <w:highlight w:val="none"/>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ËÎÌå">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FWCQV+ËÎÌå">
    <w:altName w:val="微软雅黑"/>
    <w:panose1 w:val="00000000000000000000"/>
    <w:charset w:val="01"/>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263128"/>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304D5"/>
    <w:multiLevelType w:val="singleLevel"/>
    <w:tmpl w:val="5D2304D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zZDY3YjE0ZDg5NzUxYWVkY2ZmNzkxMzQwZmFjMDUifQ=="/>
  </w:docVars>
  <w:rsids>
    <w:rsidRoot w:val="00172A27"/>
    <w:rsid w:val="000212CF"/>
    <w:rsid w:val="00022A2F"/>
    <w:rsid w:val="000339E8"/>
    <w:rsid w:val="000370F8"/>
    <w:rsid w:val="00044721"/>
    <w:rsid w:val="000556D4"/>
    <w:rsid w:val="00063CDB"/>
    <w:rsid w:val="00072CB5"/>
    <w:rsid w:val="000769F6"/>
    <w:rsid w:val="00077745"/>
    <w:rsid w:val="00087A06"/>
    <w:rsid w:val="000A1D90"/>
    <w:rsid w:val="000A4D41"/>
    <w:rsid w:val="000D38F0"/>
    <w:rsid w:val="000E0415"/>
    <w:rsid w:val="0010058D"/>
    <w:rsid w:val="00105E18"/>
    <w:rsid w:val="001222E9"/>
    <w:rsid w:val="001251A1"/>
    <w:rsid w:val="00143342"/>
    <w:rsid w:val="00147A0B"/>
    <w:rsid w:val="00160481"/>
    <w:rsid w:val="00171F3A"/>
    <w:rsid w:val="00172A27"/>
    <w:rsid w:val="00181FDF"/>
    <w:rsid w:val="001918E3"/>
    <w:rsid w:val="001937C4"/>
    <w:rsid w:val="001A7805"/>
    <w:rsid w:val="001B1C3B"/>
    <w:rsid w:val="001B25CA"/>
    <w:rsid w:val="001B2BBA"/>
    <w:rsid w:val="001D3DA2"/>
    <w:rsid w:val="002048FD"/>
    <w:rsid w:val="00207286"/>
    <w:rsid w:val="00214713"/>
    <w:rsid w:val="00227269"/>
    <w:rsid w:val="00227643"/>
    <w:rsid w:val="002359D5"/>
    <w:rsid w:val="00237707"/>
    <w:rsid w:val="00246EE2"/>
    <w:rsid w:val="00252697"/>
    <w:rsid w:val="0026127D"/>
    <w:rsid w:val="00265750"/>
    <w:rsid w:val="00294788"/>
    <w:rsid w:val="002D3B59"/>
    <w:rsid w:val="002F4DAB"/>
    <w:rsid w:val="00325DAC"/>
    <w:rsid w:val="003306CA"/>
    <w:rsid w:val="00332956"/>
    <w:rsid w:val="00335315"/>
    <w:rsid w:val="00343126"/>
    <w:rsid w:val="003A383A"/>
    <w:rsid w:val="003A6251"/>
    <w:rsid w:val="003B0B28"/>
    <w:rsid w:val="003D0875"/>
    <w:rsid w:val="00412035"/>
    <w:rsid w:val="00427E6B"/>
    <w:rsid w:val="004435C2"/>
    <w:rsid w:val="00457B94"/>
    <w:rsid w:val="004620E3"/>
    <w:rsid w:val="00464071"/>
    <w:rsid w:val="0048481F"/>
    <w:rsid w:val="00497A3A"/>
    <w:rsid w:val="004A3F30"/>
    <w:rsid w:val="004A5EFB"/>
    <w:rsid w:val="004B3BA5"/>
    <w:rsid w:val="004E4352"/>
    <w:rsid w:val="005318F9"/>
    <w:rsid w:val="005403F2"/>
    <w:rsid w:val="00545F13"/>
    <w:rsid w:val="00550A86"/>
    <w:rsid w:val="005719DE"/>
    <w:rsid w:val="0058218B"/>
    <w:rsid w:val="0058372B"/>
    <w:rsid w:val="00583EC0"/>
    <w:rsid w:val="00584DD4"/>
    <w:rsid w:val="005B1E70"/>
    <w:rsid w:val="005B4FF1"/>
    <w:rsid w:val="005F63F1"/>
    <w:rsid w:val="0060151D"/>
    <w:rsid w:val="006059FA"/>
    <w:rsid w:val="00605D51"/>
    <w:rsid w:val="006A4888"/>
    <w:rsid w:val="006B5447"/>
    <w:rsid w:val="006C318A"/>
    <w:rsid w:val="006F3ABA"/>
    <w:rsid w:val="00702C4D"/>
    <w:rsid w:val="00714410"/>
    <w:rsid w:val="007175D7"/>
    <w:rsid w:val="007225D5"/>
    <w:rsid w:val="00782273"/>
    <w:rsid w:val="0079107C"/>
    <w:rsid w:val="007963A2"/>
    <w:rsid w:val="007A5B7A"/>
    <w:rsid w:val="007B6BC3"/>
    <w:rsid w:val="007C1497"/>
    <w:rsid w:val="007D7BD2"/>
    <w:rsid w:val="007F2B7B"/>
    <w:rsid w:val="007F4CED"/>
    <w:rsid w:val="0080651B"/>
    <w:rsid w:val="00814FB2"/>
    <w:rsid w:val="00864247"/>
    <w:rsid w:val="0087115C"/>
    <w:rsid w:val="008A034A"/>
    <w:rsid w:val="008A0CC1"/>
    <w:rsid w:val="008C53F0"/>
    <w:rsid w:val="008E476A"/>
    <w:rsid w:val="008E6596"/>
    <w:rsid w:val="008E71C4"/>
    <w:rsid w:val="00907EAE"/>
    <w:rsid w:val="0092535E"/>
    <w:rsid w:val="00934224"/>
    <w:rsid w:val="00936AAD"/>
    <w:rsid w:val="00951D89"/>
    <w:rsid w:val="009B186B"/>
    <w:rsid w:val="009D6C2A"/>
    <w:rsid w:val="009E3160"/>
    <w:rsid w:val="00A05A7F"/>
    <w:rsid w:val="00A41994"/>
    <w:rsid w:val="00A5288B"/>
    <w:rsid w:val="00A9027D"/>
    <w:rsid w:val="00AB6513"/>
    <w:rsid w:val="00AF340B"/>
    <w:rsid w:val="00B10C17"/>
    <w:rsid w:val="00B17B11"/>
    <w:rsid w:val="00B26518"/>
    <w:rsid w:val="00B34DF1"/>
    <w:rsid w:val="00B40B93"/>
    <w:rsid w:val="00B70038"/>
    <w:rsid w:val="00B714AF"/>
    <w:rsid w:val="00B90402"/>
    <w:rsid w:val="00BA65B1"/>
    <w:rsid w:val="00BE2279"/>
    <w:rsid w:val="00BE5C80"/>
    <w:rsid w:val="00C03D23"/>
    <w:rsid w:val="00C54B0B"/>
    <w:rsid w:val="00C57197"/>
    <w:rsid w:val="00C605FA"/>
    <w:rsid w:val="00C629A8"/>
    <w:rsid w:val="00C70B4B"/>
    <w:rsid w:val="00C757E9"/>
    <w:rsid w:val="00C87121"/>
    <w:rsid w:val="00C93DEC"/>
    <w:rsid w:val="00C94118"/>
    <w:rsid w:val="00CE7A83"/>
    <w:rsid w:val="00D07E70"/>
    <w:rsid w:val="00D12175"/>
    <w:rsid w:val="00D174E8"/>
    <w:rsid w:val="00D538BE"/>
    <w:rsid w:val="00DA1ACE"/>
    <w:rsid w:val="00DA267C"/>
    <w:rsid w:val="00DB7293"/>
    <w:rsid w:val="00DD0A15"/>
    <w:rsid w:val="00DD2A6F"/>
    <w:rsid w:val="00DD48E7"/>
    <w:rsid w:val="00DF0284"/>
    <w:rsid w:val="00DF4993"/>
    <w:rsid w:val="00E010B3"/>
    <w:rsid w:val="00E07785"/>
    <w:rsid w:val="00E102BD"/>
    <w:rsid w:val="00E310ED"/>
    <w:rsid w:val="00E31F80"/>
    <w:rsid w:val="00E87641"/>
    <w:rsid w:val="00EA0794"/>
    <w:rsid w:val="00EA3E5A"/>
    <w:rsid w:val="00EC2C1D"/>
    <w:rsid w:val="00EF5EF4"/>
    <w:rsid w:val="00F15D19"/>
    <w:rsid w:val="00F24C71"/>
    <w:rsid w:val="00F53212"/>
    <w:rsid w:val="00F54150"/>
    <w:rsid w:val="00F61DE2"/>
    <w:rsid w:val="00F87155"/>
    <w:rsid w:val="00FA1435"/>
    <w:rsid w:val="00FC2F40"/>
    <w:rsid w:val="00FC64B7"/>
    <w:rsid w:val="00FE5CB4"/>
    <w:rsid w:val="029A40C6"/>
    <w:rsid w:val="02D24D1A"/>
    <w:rsid w:val="07A4128F"/>
    <w:rsid w:val="0B0D71C4"/>
    <w:rsid w:val="0E244217"/>
    <w:rsid w:val="11762040"/>
    <w:rsid w:val="14463B51"/>
    <w:rsid w:val="14B0348F"/>
    <w:rsid w:val="15E95372"/>
    <w:rsid w:val="192E2A56"/>
    <w:rsid w:val="1AF407C5"/>
    <w:rsid w:val="1C5B5A42"/>
    <w:rsid w:val="1E5B25A7"/>
    <w:rsid w:val="2008087D"/>
    <w:rsid w:val="20B639B4"/>
    <w:rsid w:val="229B7EEE"/>
    <w:rsid w:val="24E0414B"/>
    <w:rsid w:val="2A68535D"/>
    <w:rsid w:val="2A6A270B"/>
    <w:rsid w:val="2EC6373F"/>
    <w:rsid w:val="2FB949C2"/>
    <w:rsid w:val="2FE45D93"/>
    <w:rsid w:val="31F0038D"/>
    <w:rsid w:val="32001489"/>
    <w:rsid w:val="32884A32"/>
    <w:rsid w:val="37034A40"/>
    <w:rsid w:val="3A0E28F7"/>
    <w:rsid w:val="3A300645"/>
    <w:rsid w:val="3AD108AB"/>
    <w:rsid w:val="401B1099"/>
    <w:rsid w:val="407821C8"/>
    <w:rsid w:val="43A4559E"/>
    <w:rsid w:val="44834BD9"/>
    <w:rsid w:val="44C8410B"/>
    <w:rsid w:val="47B63937"/>
    <w:rsid w:val="48982C37"/>
    <w:rsid w:val="4E2845F9"/>
    <w:rsid w:val="4ECF7A34"/>
    <w:rsid w:val="4FB305E1"/>
    <w:rsid w:val="4FC70EC6"/>
    <w:rsid w:val="50F046D2"/>
    <w:rsid w:val="51045930"/>
    <w:rsid w:val="525F2439"/>
    <w:rsid w:val="5293115E"/>
    <w:rsid w:val="55DD1417"/>
    <w:rsid w:val="5681790E"/>
    <w:rsid w:val="59EF0DC7"/>
    <w:rsid w:val="5C647DBF"/>
    <w:rsid w:val="5E192817"/>
    <w:rsid w:val="5EE2559B"/>
    <w:rsid w:val="5F5824A2"/>
    <w:rsid w:val="610645A9"/>
    <w:rsid w:val="627A5B68"/>
    <w:rsid w:val="65AE59FE"/>
    <w:rsid w:val="685E059B"/>
    <w:rsid w:val="6BE32536"/>
    <w:rsid w:val="6C4F005E"/>
    <w:rsid w:val="6DBF338C"/>
    <w:rsid w:val="6ECE59EF"/>
    <w:rsid w:val="6EDA111B"/>
    <w:rsid w:val="6F8963E7"/>
    <w:rsid w:val="70271E35"/>
    <w:rsid w:val="71B520AB"/>
    <w:rsid w:val="72FF0084"/>
    <w:rsid w:val="73BD310E"/>
    <w:rsid w:val="74774A88"/>
    <w:rsid w:val="76F42B14"/>
    <w:rsid w:val="7894053C"/>
    <w:rsid w:val="7AE67630"/>
    <w:rsid w:val="7B200F90"/>
    <w:rsid w:val="7E1748FF"/>
    <w:rsid w:val="7FAB0989"/>
    <w:rsid w:val="7FF54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qFormat/>
    <w:uiPriority w:val="1"/>
    <w:pPr>
      <w:spacing w:before="161"/>
      <w:ind w:left="2701"/>
    </w:pPr>
    <w:rPr>
      <w:rFonts w:ascii="宋体" w:hAnsi="宋体" w:eastAsia="宋体" w:cs="宋体"/>
      <w:sz w:val="24"/>
      <w:szCs w:val="24"/>
      <w:lang w:val="en-US" w:eastAsia="zh-CN" w:bidi="ar-SA"/>
    </w:rPr>
  </w:style>
  <w:style w:type="paragraph" w:styleId="4">
    <w:name w:val="Balloon Text"/>
    <w:basedOn w:val="1"/>
    <w:link w:val="17"/>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Emphasis"/>
    <w:basedOn w:val="9"/>
    <w:qFormat/>
    <w:uiPriority w:val="20"/>
    <w:rPr>
      <w:i/>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ËÎÌå" w:hAnsi="ËÎÌå" w:eastAsia="宋体" w:cs="ËÎÌå"/>
      <w:lang w:val="en-US" w:eastAsia="zh-CN" w:bidi="ar-SA"/>
    </w:rPr>
  </w:style>
  <w:style w:type="character" w:customStyle="1" w:styleId="15">
    <w:name w:val="批注文字 字符"/>
    <w:basedOn w:val="9"/>
    <w:link w:val="2"/>
    <w:semiHidden/>
    <w:qFormat/>
    <w:uiPriority w:val="99"/>
  </w:style>
  <w:style w:type="character" w:customStyle="1" w:styleId="16">
    <w:name w:val="批注主题 字符"/>
    <w:basedOn w:val="15"/>
    <w:link w:val="7"/>
    <w:semiHidden/>
    <w:qFormat/>
    <w:uiPriority w:val="99"/>
    <w:rPr>
      <w:b/>
      <w:bCs/>
    </w:rPr>
  </w:style>
  <w:style w:type="character" w:customStyle="1" w:styleId="17">
    <w:name w:val="批注框文本 字符"/>
    <w:basedOn w:val="9"/>
    <w:link w:val="4"/>
    <w:semiHidden/>
    <w:qFormat/>
    <w:uiPriority w:val="99"/>
    <w:rPr>
      <w:sz w:val="18"/>
      <w:szCs w:val="18"/>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643</Words>
  <Characters>3670</Characters>
  <Lines>30</Lines>
  <Paragraphs>8</Paragraphs>
  <TotalTime>0</TotalTime>
  <ScaleCrop>false</ScaleCrop>
  <LinksUpToDate>false</LinksUpToDate>
  <CharactersWithSpaces>4305</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2022-08-03T08:55:00Z</dcterms:created>
  <dc:creator>user</dc:creator>
  <cp:lastModifiedBy>任翀</cp:lastModifiedBy>
  <cp:lastPrinted>2019-04-17T15:37:00Z</cp:lastPrinted>
  <dcterms:modified xsi:type="dcterms:W3CDTF">2025-11-27T05:43:05Z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F74960512C8E4772B70FAABB56FE0D40_13</vt:lpwstr>
  </property>
</Properties>
</file>