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7A9C" w14:textId="77777777" w:rsidR="00DC55F1" w:rsidRPr="00692ACE" w:rsidRDefault="00DC55F1" w:rsidP="00DC55F1">
      <w:pPr>
        <w:spacing w:line="60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江苏苏州</w:t>
      </w:r>
      <w:r w:rsidRPr="00692ACE">
        <w:rPr>
          <w:rFonts w:ascii="Times New Roman" w:hAnsi="Times New Roman" w:hint="eastAsia"/>
          <w:b/>
          <w:bCs/>
          <w:sz w:val="32"/>
          <w:szCs w:val="32"/>
        </w:rPr>
        <w:t>农村商业银行股份有限公司</w:t>
      </w:r>
    </w:p>
    <w:p w14:paraId="1BCB6793" w14:textId="77777777" w:rsidR="00DC55F1" w:rsidRPr="00692ACE" w:rsidRDefault="00DC55F1" w:rsidP="00DC55F1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 w:rsidRPr="00692ACE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p w14:paraId="65512F04" w14:textId="74F86E32" w:rsidR="00DC55F1" w:rsidRDefault="00DC55F1" w:rsidP="00DC55F1">
      <w:pPr>
        <w:spacing w:beforeLines="50" w:before="156" w:afterLines="50" w:after="156" w:line="360" w:lineRule="auto"/>
        <w:jc w:val="center"/>
        <w:rPr>
          <w:rFonts w:ascii="Times New Roman" w:hAnsi="Times New Roman"/>
          <w:sz w:val="24"/>
        </w:rPr>
      </w:pPr>
      <w:r w:rsidRPr="00DC55F1">
        <w:rPr>
          <w:rFonts w:ascii="Times New Roman" w:hAnsi="Times New Roman" w:hint="eastAsia"/>
          <w:sz w:val="24"/>
        </w:rPr>
        <w:t>证券代码：</w:t>
      </w:r>
      <w:r w:rsidRPr="00DC55F1">
        <w:rPr>
          <w:rFonts w:ascii="Times New Roman" w:hAnsi="Times New Roman" w:hint="eastAsia"/>
          <w:sz w:val="24"/>
        </w:rPr>
        <w:t xml:space="preserve">603323               </w:t>
      </w:r>
      <w:r w:rsidRPr="00DC55F1">
        <w:rPr>
          <w:rFonts w:ascii="Times New Roman" w:hAnsi="Times New Roman" w:hint="eastAsia"/>
          <w:sz w:val="24"/>
        </w:rPr>
        <w:t>证券简称：苏农银行</w:t>
      </w:r>
      <w:r w:rsidRPr="00DC55F1">
        <w:rPr>
          <w:rFonts w:ascii="Times New Roman" w:hAnsi="Times New Roman" w:hint="eastAsia"/>
          <w:sz w:val="24"/>
        </w:rPr>
        <w:t xml:space="preserve">             </w:t>
      </w:r>
      <w:r w:rsidRPr="00DC55F1">
        <w:rPr>
          <w:rFonts w:ascii="Times New Roman" w:hAnsi="Times New Roman" w:hint="eastAsia"/>
          <w:sz w:val="24"/>
        </w:rPr>
        <w:t>编号：</w:t>
      </w:r>
      <w:r w:rsidRPr="00DC55F1">
        <w:rPr>
          <w:rFonts w:ascii="Times New Roman" w:hAnsi="Times New Roman" w:hint="eastAsia"/>
          <w:sz w:val="24"/>
        </w:rPr>
        <w:t>202</w:t>
      </w:r>
      <w:r w:rsidR="00F12A0C">
        <w:rPr>
          <w:rFonts w:ascii="Times New Roman" w:hAnsi="Times New Roman" w:hint="eastAsia"/>
          <w:sz w:val="24"/>
        </w:rPr>
        <w:t>6</w:t>
      </w:r>
      <w:r w:rsidR="00D15DBF">
        <w:rPr>
          <w:rFonts w:ascii="Times New Roman" w:hAnsi="Times New Roman" w:hint="eastAsia"/>
          <w:sz w:val="24"/>
        </w:rPr>
        <w:t>-00</w:t>
      </w:r>
      <w:r w:rsidR="00F12A0C">
        <w:rPr>
          <w:rFonts w:ascii="Times New Roman" w:hAnsi="Times New Roman" w:hint="eastAsia"/>
          <w:sz w:val="24"/>
        </w:rPr>
        <w:t>1</w:t>
      </w:r>
    </w:p>
    <w:tbl>
      <w:tblPr>
        <w:tblStyle w:val="a3"/>
        <w:tblW w:w="10456" w:type="dxa"/>
        <w:jc w:val="center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623"/>
        <w:gridCol w:w="1640"/>
        <w:gridCol w:w="1985"/>
        <w:gridCol w:w="850"/>
        <w:gridCol w:w="1843"/>
        <w:gridCol w:w="3515"/>
      </w:tblGrid>
      <w:tr w:rsidR="004E2741" w:rsidRPr="00DC55F1" w14:paraId="44F38B32" w14:textId="77777777" w:rsidTr="006E21E9">
        <w:trPr>
          <w:trHeight w:val="564"/>
          <w:jc w:val="center"/>
        </w:trPr>
        <w:tc>
          <w:tcPr>
            <w:tcW w:w="623" w:type="dxa"/>
            <w:vAlign w:val="center"/>
          </w:tcPr>
          <w:p w14:paraId="1EAA9707" w14:textId="107E27F2" w:rsidR="004E2741" w:rsidRPr="008C7798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640" w:type="dxa"/>
            <w:vAlign w:val="center"/>
          </w:tcPr>
          <w:p w14:paraId="1170B8C5" w14:textId="500D1D8B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投资者关系活动类别</w:t>
            </w:r>
          </w:p>
        </w:tc>
        <w:tc>
          <w:tcPr>
            <w:tcW w:w="1985" w:type="dxa"/>
            <w:vAlign w:val="center"/>
          </w:tcPr>
          <w:p w14:paraId="2C6D0D26" w14:textId="13F55586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活动时间</w:t>
            </w:r>
          </w:p>
        </w:tc>
        <w:tc>
          <w:tcPr>
            <w:tcW w:w="850" w:type="dxa"/>
            <w:vAlign w:val="center"/>
          </w:tcPr>
          <w:p w14:paraId="082F0C1A" w14:textId="5B045444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活动</w:t>
            </w:r>
            <w:r>
              <w:rPr>
                <w:rFonts w:hint="eastAsia"/>
                <w:b/>
                <w:bCs/>
                <w:sz w:val="22"/>
                <w:szCs w:val="22"/>
              </w:rPr>
              <w:t>形式</w:t>
            </w:r>
          </w:p>
        </w:tc>
        <w:tc>
          <w:tcPr>
            <w:tcW w:w="1843" w:type="dxa"/>
            <w:vAlign w:val="center"/>
          </w:tcPr>
          <w:p w14:paraId="51651418" w14:textId="27290E6C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活动地点</w:t>
            </w:r>
          </w:p>
        </w:tc>
        <w:tc>
          <w:tcPr>
            <w:tcW w:w="3515" w:type="dxa"/>
            <w:vAlign w:val="center"/>
          </w:tcPr>
          <w:p w14:paraId="6E9E2B64" w14:textId="4E3E919D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参与单位名称</w:t>
            </w:r>
          </w:p>
        </w:tc>
      </w:tr>
      <w:tr w:rsidR="004E2741" w:rsidRPr="00DC55F1" w14:paraId="3716AFAD" w14:textId="77777777" w:rsidTr="006E21E9">
        <w:trPr>
          <w:trHeight w:val="801"/>
          <w:jc w:val="center"/>
        </w:trPr>
        <w:tc>
          <w:tcPr>
            <w:tcW w:w="623" w:type="dxa"/>
            <w:vAlign w:val="center"/>
          </w:tcPr>
          <w:p w14:paraId="4E2FDE58" w14:textId="16FD800E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640" w:type="dxa"/>
            <w:vAlign w:val="center"/>
          </w:tcPr>
          <w:p w14:paraId="1D71C65D" w14:textId="4D3FE4A2" w:rsidR="004E2741" w:rsidRPr="000F1F33" w:rsidRDefault="00F12A0C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F12A0C">
              <w:rPr>
                <w:rFonts w:ascii="宋体" w:hAnsi="宋体"/>
                <w:sz w:val="22"/>
                <w:szCs w:val="22"/>
              </w:rPr>
              <w:t>特定对象调研</w:t>
            </w:r>
          </w:p>
        </w:tc>
        <w:tc>
          <w:tcPr>
            <w:tcW w:w="1985" w:type="dxa"/>
            <w:vAlign w:val="center"/>
          </w:tcPr>
          <w:p w14:paraId="0CE6545C" w14:textId="375A1197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</w:t>
            </w:r>
            <w:r w:rsidR="00F12A0C">
              <w:rPr>
                <w:rFonts w:ascii="宋体" w:hAnsi="宋体" w:hint="eastAsia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sz w:val="22"/>
                <w:szCs w:val="22"/>
              </w:rPr>
              <w:t>年1月</w:t>
            </w:r>
            <w:r w:rsidR="00F12A0C">
              <w:rPr>
                <w:rFonts w:ascii="宋体" w:hAnsi="宋体" w:hint="eastAsia"/>
                <w:sz w:val="22"/>
                <w:szCs w:val="22"/>
              </w:rPr>
              <w:t>27</w:t>
            </w:r>
            <w:r>
              <w:rPr>
                <w:rFonts w:ascii="宋体" w:hAnsi="宋体" w:hint="eastAsia"/>
                <w:sz w:val="22"/>
                <w:szCs w:val="22"/>
              </w:rPr>
              <w:t>日</w:t>
            </w:r>
          </w:p>
          <w:p w14:paraId="30D3A2F2" w14:textId="56349CAB" w:rsidR="004E2741" w:rsidRPr="000F1F33" w:rsidRDefault="00031138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14:00-15:00</w:t>
            </w:r>
          </w:p>
        </w:tc>
        <w:tc>
          <w:tcPr>
            <w:tcW w:w="850" w:type="dxa"/>
            <w:vAlign w:val="center"/>
          </w:tcPr>
          <w:p w14:paraId="068AB145" w14:textId="22A14377" w:rsidR="004E2741" w:rsidRDefault="00031138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现场</w:t>
            </w:r>
            <w:r w:rsidR="004E2741">
              <w:rPr>
                <w:rFonts w:ascii="宋体" w:hAnsi="宋体" w:hint="eastAsia"/>
                <w:sz w:val="22"/>
                <w:szCs w:val="22"/>
              </w:rPr>
              <w:t>会议</w:t>
            </w:r>
          </w:p>
        </w:tc>
        <w:tc>
          <w:tcPr>
            <w:tcW w:w="1843" w:type="dxa"/>
            <w:vAlign w:val="center"/>
          </w:tcPr>
          <w:p w14:paraId="5616F2E3" w14:textId="678E1591" w:rsidR="004E2741" w:rsidRDefault="00031138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31138">
              <w:rPr>
                <w:rFonts w:ascii="宋体" w:hAnsi="宋体"/>
                <w:sz w:val="22"/>
                <w:szCs w:val="22"/>
              </w:rPr>
              <w:t>苏州农商银行总行401会议室</w:t>
            </w:r>
          </w:p>
        </w:tc>
        <w:tc>
          <w:tcPr>
            <w:tcW w:w="3515" w:type="dxa"/>
            <w:vAlign w:val="center"/>
          </w:tcPr>
          <w:p w14:paraId="421EEA7E" w14:textId="67524906" w:rsidR="004E2741" w:rsidRPr="000F1F33" w:rsidRDefault="00031138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长江证券</w:t>
            </w:r>
          </w:p>
        </w:tc>
      </w:tr>
      <w:tr w:rsidR="004E2741" w:rsidRPr="00DC55F1" w14:paraId="225898CC" w14:textId="77777777" w:rsidTr="006E21E9">
        <w:trPr>
          <w:trHeight w:val="828"/>
          <w:jc w:val="center"/>
        </w:trPr>
        <w:tc>
          <w:tcPr>
            <w:tcW w:w="623" w:type="dxa"/>
            <w:vAlign w:val="center"/>
          </w:tcPr>
          <w:p w14:paraId="7C5E59C2" w14:textId="55656CB8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640" w:type="dxa"/>
            <w:vAlign w:val="center"/>
          </w:tcPr>
          <w:p w14:paraId="4AA6667B" w14:textId="3E6C2488" w:rsidR="004E2741" w:rsidRPr="000F1F33" w:rsidRDefault="00F12A0C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F12A0C">
              <w:rPr>
                <w:rFonts w:ascii="宋体" w:hAnsi="宋体"/>
                <w:sz w:val="22"/>
                <w:szCs w:val="22"/>
              </w:rPr>
              <w:t>特定对象调研</w:t>
            </w:r>
          </w:p>
        </w:tc>
        <w:tc>
          <w:tcPr>
            <w:tcW w:w="1985" w:type="dxa"/>
            <w:vAlign w:val="center"/>
          </w:tcPr>
          <w:p w14:paraId="3BCA547E" w14:textId="395EA32D" w:rsidR="004E2741" w:rsidRDefault="004E2741" w:rsidP="00871B2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</w:t>
            </w:r>
            <w:r w:rsidR="00F12A0C">
              <w:rPr>
                <w:rFonts w:ascii="宋体" w:hAnsi="宋体" w:hint="eastAsia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sz w:val="22"/>
                <w:szCs w:val="22"/>
              </w:rPr>
              <w:t>年1月</w:t>
            </w:r>
            <w:r w:rsidR="00F12A0C">
              <w:rPr>
                <w:rFonts w:ascii="宋体" w:hAnsi="宋体" w:hint="eastAsia"/>
                <w:sz w:val="22"/>
                <w:szCs w:val="22"/>
              </w:rPr>
              <w:t>27</w:t>
            </w:r>
            <w:r>
              <w:rPr>
                <w:rFonts w:ascii="宋体" w:hAnsi="宋体" w:hint="eastAsia"/>
                <w:sz w:val="22"/>
                <w:szCs w:val="22"/>
              </w:rPr>
              <w:t>日</w:t>
            </w:r>
          </w:p>
          <w:p w14:paraId="6CB65206" w14:textId="36DF5507" w:rsidR="004E2741" w:rsidRPr="000F1F33" w:rsidRDefault="00A8557E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16:00-17:00</w:t>
            </w:r>
          </w:p>
        </w:tc>
        <w:tc>
          <w:tcPr>
            <w:tcW w:w="850" w:type="dxa"/>
            <w:vAlign w:val="center"/>
          </w:tcPr>
          <w:p w14:paraId="726C19BD" w14:textId="7A5B5C3B" w:rsidR="004E2741" w:rsidRDefault="00031138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视频</w:t>
            </w:r>
            <w:r w:rsidR="004E2741">
              <w:rPr>
                <w:rFonts w:ascii="宋体" w:hAnsi="宋体" w:hint="eastAsia"/>
                <w:sz w:val="22"/>
                <w:szCs w:val="22"/>
              </w:rPr>
              <w:t>会议</w:t>
            </w:r>
          </w:p>
        </w:tc>
        <w:tc>
          <w:tcPr>
            <w:tcW w:w="1843" w:type="dxa"/>
            <w:vAlign w:val="center"/>
          </w:tcPr>
          <w:p w14:paraId="072B853A" w14:textId="572D06D4" w:rsidR="004E2741" w:rsidRDefault="00031138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腾讯会议</w:t>
            </w:r>
          </w:p>
        </w:tc>
        <w:tc>
          <w:tcPr>
            <w:tcW w:w="3515" w:type="dxa"/>
            <w:vAlign w:val="center"/>
          </w:tcPr>
          <w:p w14:paraId="2975AC1D" w14:textId="6512B627" w:rsidR="004E2741" w:rsidRPr="000F1F33" w:rsidRDefault="00A8557E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银河证券、</w:t>
            </w:r>
            <w:r w:rsidR="00A34E54">
              <w:rPr>
                <w:rFonts w:ascii="宋体" w:hAnsi="宋体" w:hint="eastAsia"/>
                <w:sz w:val="22"/>
                <w:szCs w:val="22"/>
              </w:rPr>
              <w:t>中信证券自营、博时基金、上海信托、农银汇理</w:t>
            </w:r>
          </w:p>
        </w:tc>
      </w:tr>
      <w:tr w:rsidR="004E2741" w:rsidRPr="00DC55F1" w14:paraId="28FEDC37" w14:textId="77777777" w:rsidTr="00A8557E">
        <w:trPr>
          <w:trHeight w:val="494"/>
          <w:jc w:val="center"/>
        </w:trPr>
        <w:tc>
          <w:tcPr>
            <w:tcW w:w="2263" w:type="dxa"/>
            <w:gridSpan w:val="2"/>
            <w:vAlign w:val="center"/>
          </w:tcPr>
          <w:p w14:paraId="70001A90" w14:textId="38ED7BF1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8C7798">
              <w:rPr>
                <w:rFonts w:hint="eastAsia"/>
                <w:b/>
                <w:bCs/>
                <w:sz w:val="22"/>
                <w:szCs w:val="22"/>
              </w:rPr>
              <w:t>本行</w:t>
            </w:r>
            <w:r>
              <w:rPr>
                <w:rFonts w:hint="eastAsia"/>
                <w:b/>
                <w:bCs/>
                <w:sz w:val="22"/>
                <w:szCs w:val="22"/>
              </w:rPr>
              <w:t>参与</w:t>
            </w:r>
            <w:r w:rsidRPr="008C7798">
              <w:rPr>
                <w:rFonts w:hint="eastAsia"/>
                <w:b/>
                <w:bCs/>
                <w:sz w:val="22"/>
                <w:szCs w:val="22"/>
              </w:rPr>
              <w:t>人员</w:t>
            </w:r>
          </w:p>
        </w:tc>
        <w:tc>
          <w:tcPr>
            <w:tcW w:w="8193" w:type="dxa"/>
            <w:gridSpan w:val="4"/>
            <w:vAlign w:val="center"/>
          </w:tcPr>
          <w:p w14:paraId="00BB3578" w14:textId="440D033E" w:rsidR="004E2741" w:rsidRDefault="006E21E9" w:rsidP="00625A51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董事会秘书</w:t>
            </w:r>
            <w:r w:rsidR="004E2741">
              <w:rPr>
                <w:rFonts w:hint="eastAsia"/>
                <w:sz w:val="22"/>
                <w:szCs w:val="22"/>
              </w:rPr>
              <w:t>、董事会办公室</w:t>
            </w:r>
            <w:r>
              <w:rPr>
                <w:rFonts w:hint="eastAsia"/>
                <w:sz w:val="22"/>
                <w:szCs w:val="22"/>
              </w:rPr>
              <w:t>相关</w:t>
            </w:r>
            <w:r w:rsidR="004E2741">
              <w:rPr>
                <w:rFonts w:hint="eastAsia"/>
                <w:sz w:val="22"/>
                <w:szCs w:val="22"/>
              </w:rPr>
              <w:t>人员</w:t>
            </w:r>
          </w:p>
        </w:tc>
      </w:tr>
      <w:tr w:rsidR="00D34713" w:rsidRPr="00DC55F1" w14:paraId="7E65C457" w14:textId="77777777" w:rsidTr="00A8557E">
        <w:trPr>
          <w:trHeight w:val="44"/>
          <w:jc w:val="center"/>
        </w:trPr>
        <w:tc>
          <w:tcPr>
            <w:tcW w:w="2263" w:type="dxa"/>
            <w:gridSpan w:val="2"/>
            <w:vAlign w:val="center"/>
          </w:tcPr>
          <w:p w14:paraId="47BC3CCE" w14:textId="110D53B6" w:rsidR="00D34713" w:rsidRDefault="00D34713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8C7798">
              <w:rPr>
                <w:rFonts w:hint="eastAsia"/>
                <w:b/>
                <w:bCs/>
                <w:sz w:val="22"/>
                <w:szCs w:val="22"/>
              </w:rPr>
              <w:t>投资者关系活动主要内容</w:t>
            </w:r>
          </w:p>
        </w:tc>
        <w:tc>
          <w:tcPr>
            <w:tcW w:w="8193" w:type="dxa"/>
            <w:gridSpan w:val="4"/>
          </w:tcPr>
          <w:p w14:paraId="09806ADD" w14:textId="423A4917" w:rsidR="00D34713" w:rsidRPr="001D254B" w:rsidRDefault="00BE1BCE" w:rsidP="00BE1BCE">
            <w:pPr>
              <w:spacing w:before="120"/>
              <w:ind w:firstLineChars="200" w:firstLine="442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</w:t>
            </w:r>
            <w:r w:rsidR="00D34713" w:rsidRPr="00980E64"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="0078620F">
              <w:rPr>
                <w:rFonts w:ascii="宋体" w:hAnsi="宋体" w:hint="eastAsia"/>
                <w:b/>
                <w:bCs/>
                <w:sz w:val="22"/>
                <w:szCs w:val="22"/>
              </w:rPr>
              <w:t>2025年全年的经营情况如何</w:t>
            </w:r>
            <w:r w:rsidR="00D34713" w:rsidRPr="001D254B">
              <w:rPr>
                <w:rFonts w:ascii="宋体" w:hAnsi="宋体" w:hint="eastAsia"/>
                <w:b/>
                <w:bCs/>
                <w:sz w:val="22"/>
                <w:szCs w:val="22"/>
              </w:rPr>
              <w:t>？</w:t>
            </w:r>
          </w:p>
          <w:p w14:paraId="46C2576D" w14:textId="77777777" w:rsidR="00D34713" w:rsidRDefault="00D34713" w:rsidP="002B375B">
            <w:pPr>
              <w:spacing w:before="120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2B375B">
              <w:rPr>
                <w:rFonts w:ascii="宋体" w:hAnsi="宋体" w:hint="eastAsia"/>
                <w:sz w:val="22"/>
                <w:szCs w:val="22"/>
              </w:rPr>
              <w:t>答：</w:t>
            </w:r>
            <w:r w:rsidR="002B375B" w:rsidRPr="002B375B">
              <w:rPr>
                <w:rFonts w:ascii="宋体" w:hAnsi="宋体"/>
                <w:sz w:val="22"/>
                <w:szCs w:val="22"/>
              </w:rPr>
              <w:t>2025年，是“十四五”规划的收官之年，也是本行“五年再造”的交卷之年。本行立足战略全局，聚焦主责主业，以“三一五”发展战略规划为指引，围绕“三个银行”建设，统筹量的合理增长和质的有效提升，全行高质量发展取得新突破。截至2025年末，本行总资产2311.03亿元，较年初增长8.00%；总贷款1394.32亿元，较年初增长7.81%；总存款1829.59亿元，较年初增长7.47%。2025年度，本行经营效益稳步提升，实现营业收入41.91亿元，同比增长0.41%；归属于母公司股东的净利润20.43亿元，同比增长5.04%。截至2025年末，本行不良贷款率0.88%，较年初下降0.02个百分点，关注贷款率1.33%，拨备覆盖率370.19%，资产质量健康</w:t>
            </w:r>
            <w:r w:rsidR="002B375B">
              <w:rPr>
                <w:rFonts w:ascii="宋体" w:hAnsi="宋体" w:hint="eastAsia"/>
                <w:sz w:val="22"/>
                <w:szCs w:val="22"/>
              </w:rPr>
              <w:t>稳定</w:t>
            </w:r>
            <w:r w:rsidR="002B375B" w:rsidRPr="002B375B">
              <w:rPr>
                <w:rFonts w:ascii="宋体" w:hAnsi="宋体"/>
                <w:sz w:val="22"/>
                <w:szCs w:val="22"/>
              </w:rPr>
              <w:t>。</w:t>
            </w:r>
          </w:p>
          <w:p w14:paraId="5974A265" w14:textId="77777777" w:rsidR="00BE1BCE" w:rsidRDefault="00BE1BCE" w:rsidP="002B375B">
            <w:pPr>
              <w:spacing w:before="120"/>
              <w:ind w:firstLineChars="200" w:firstLine="440"/>
              <w:rPr>
                <w:rFonts w:ascii="宋体" w:hAnsi="宋体" w:hint="eastAsia"/>
                <w:sz w:val="22"/>
                <w:szCs w:val="22"/>
              </w:rPr>
            </w:pPr>
          </w:p>
          <w:p w14:paraId="190193DF" w14:textId="555EE8DB" w:rsidR="00BE1BCE" w:rsidRPr="003B1620" w:rsidRDefault="00BE1BCE" w:rsidP="00BE1BCE">
            <w:pPr>
              <w:spacing w:before="120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</w:t>
            </w:r>
            <w:r w:rsidRPr="00980E64">
              <w:rPr>
                <w:rFonts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hint="eastAsia"/>
                <w:b/>
                <w:bCs/>
                <w:sz w:val="22"/>
                <w:szCs w:val="22"/>
              </w:rPr>
              <w:t>贵行“三进”区域发展策略推进情况如何？</w:t>
            </w:r>
          </w:p>
          <w:p w14:paraId="6C929CCA" w14:textId="77777777" w:rsidR="00BE1BCE" w:rsidRDefault="00BE1BCE" w:rsidP="00BE1BCE">
            <w:pPr>
              <w:spacing w:before="120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B1620">
              <w:rPr>
                <w:rFonts w:hint="eastAsia"/>
                <w:sz w:val="22"/>
                <w:szCs w:val="22"/>
              </w:rPr>
              <w:t>答：</w:t>
            </w:r>
            <w:r w:rsidRPr="00D47D78">
              <w:rPr>
                <w:rFonts w:ascii="宋体" w:hAnsi="宋体"/>
                <w:sz w:val="22"/>
                <w:szCs w:val="22"/>
              </w:rPr>
              <w:t>近年来，本行“三进”区域发展战略持续稳步推进</w:t>
            </w:r>
            <w:r w:rsidRPr="00D47D78">
              <w:rPr>
                <w:rFonts w:ascii="宋体" w:hAnsi="宋体" w:hint="eastAsia"/>
                <w:sz w:val="22"/>
                <w:szCs w:val="22"/>
              </w:rPr>
              <w:t>。</w:t>
            </w:r>
            <w:r w:rsidRPr="00D47D78">
              <w:rPr>
                <w:rFonts w:ascii="宋体" w:hAnsi="宋体"/>
                <w:sz w:val="22"/>
                <w:szCs w:val="22"/>
              </w:rPr>
              <w:t>吴江地区“稳中有进”，持续下沉服务重心，新设立江陵支行，进一步优化</w:t>
            </w:r>
            <w:r>
              <w:rPr>
                <w:rFonts w:ascii="宋体" w:hAnsi="宋体" w:hint="eastAsia"/>
                <w:sz w:val="22"/>
                <w:szCs w:val="22"/>
              </w:rPr>
              <w:t>区域</w:t>
            </w:r>
            <w:r w:rsidRPr="00D47D78">
              <w:rPr>
                <w:rFonts w:ascii="宋体" w:hAnsi="宋体"/>
                <w:sz w:val="22"/>
                <w:szCs w:val="22"/>
              </w:rPr>
              <w:t>网点布局，精耕细作，将市场份额第一的地位进一步稳固，稳住发展基本盘；苏州城区“激流勇进”，作为全行业务发展的重要“增长极”，持续提升在苏州城区服务的广度、深度，2020年6月末至2025年6月末，五年时间苏州城区贷款突破300亿元，贷款规模从68.36亿元增长至313.09亿元，增幅达358.00%，占总贷款比重从9.30%提升至22.97%；存款突破160亿元，存款规模从80.39亿元增长至166.72亿元，增幅达107.39%。泰州及异地“齐驱并进”，聚焦千万以下普惠业务，坚持推进零售转型，在2024年末完成对靖江润丰村镇银行的吸并并将其改制升级为靖江支行后，实现了在泰州地区金融供给全覆盖，为该板块发展注入新动能，2025年前三季度贷款增长超10%。</w:t>
            </w:r>
          </w:p>
          <w:p w14:paraId="058C9CBD" w14:textId="4B296021" w:rsidR="002B375B" w:rsidRPr="002B375B" w:rsidRDefault="002B375B" w:rsidP="002B375B">
            <w:pPr>
              <w:spacing w:before="120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D34713" w:rsidRPr="00DC55F1" w14:paraId="70D0B209" w14:textId="77777777" w:rsidTr="00A8557E">
        <w:trPr>
          <w:trHeight w:val="44"/>
          <w:jc w:val="center"/>
        </w:trPr>
        <w:tc>
          <w:tcPr>
            <w:tcW w:w="2263" w:type="dxa"/>
            <w:gridSpan w:val="2"/>
            <w:vAlign w:val="center"/>
          </w:tcPr>
          <w:p w14:paraId="1A902FFF" w14:textId="77777777" w:rsidR="00D34713" w:rsidRPr="00D34713" w:rsidRDefault="00D34713" w:rsidP="00D34713">
            <w:pPr>
              <w:jc w:val="center"/>
              <w:rPr>
                <w:b/>
                <w:bCs/>
                <w:sz w:val="22"/>
                <w:szCs w:val="22"/>
              </w:rPr>
            </w:pPr>
            <w:r w:rsidRPr="00D34713">
              <w:rPr>
                <w:rFonts w:hint="eastAsia"/>
                <w:b/>
                <w:bCs/>
                <w:sz w:val="22"/>
                <w:szCs w:val="22"/>
              </w:rPr>
              <w:t>附件清单</w:t>
            </w:r>
          </w:p>
          <w:p w14:paraId="60A6D975" w14:textId="288E07D4" w:rsidR="00D34713" w:rsidRPr="008C7798" w:rsidRDefault="00D34713" w:rsidP="00D34713">
            <w:pPr>
              <w:jc w:val="center"/>
              <w:rPr>
                <w:b/>
                <w:bCs/>
                <w:sz w:val="22"/>
                <w:szCs w:val="22"/>
              </w:rPr>
            </w:pPr>
            <w:r w:rsidRPr="00D34713">
              <w:rPr>
                <w:rFonts w:hint="eastAsia"/>
                <w:b/>
                <w:bCs/>
                <w:sz w:val="22"/>
                <w:szCs w:val="22"/>
              </w:rPr>
              <w:t>（如有）</w:t>
            </w:r>
          </w:p>
        </w:tc>
        <w:tc>
          <w:tcPr>
            <w:tcW w:w="8193" w:type="dxa"/>
            <w:gridSpan w:val="4"/>
          </w:tcPr>
          <w:p w14:paraId="7BF13D7C" w14:textId="6139A229" w:rsidR="00D34713" w:rsidRPr="00D34713" w:rsidRDefault="00D34713" w:rsidP="00625A51">
            <w:pPr>
              <w:spacing w:before="120"/>
              <w:rPr>
                <w:sz w:val="22"/>
                <w:szCs w:val="22"/>
              </w:rPr>
            </w:pPr>
            <w:r w:rsidRPr="00D34713">
              <w:rPr>
                <w:rFonts w:hint="eastAsia"/>
                <w:sz w:val="22"/>
                <w:szCs w:val="22"/>
              </w:rPr>
              <w:t>无</w:t>
            </w:r>
          </w:p>
        </w:tc>
      </w:tr>
    </w:tbl>
    <w:p w14:paraId="0B4BC1C7" w14:textId="77777777" w:rsidR="00AB3A23" w:rsidRDefault="00AB3A23"/>
    <w:sectPr w:rsidR="00AB3A23" w:rsidSect="00DC55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EB1A" w14:textId="77777777" w:rsidR="00954477" w:rsidRDefault="00954477" w:rsidP="005E513F">
      <w:r>
        <w:separator/>
      </w:r>
    </w:p>
  </w:endnote>
  <w:endnote w:type="continuationSeparator" w:id="0">
    <w:p w14:paraId="60209DAD" w14:textId="77777777" w:rsidR="00954477" w:rsidRDefault="00954477" w:rsidP="005E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713B" w14:textId="77777777" w:rsidR="00954477" w:rsidRDefault="00954477" w:rsidP="005E513F">
      <w:r>
        <w:separator/>
      </w:r>
    </w:p>
  </w:footnote>
  <w:footnote w:type="continuationSeparator" w:id="0">
    <w:p w14:paraId="656265B6" w14:textId="77777777" w:rsidR="00954477" w:rsidRDefault="00954477" w:rsidP="005E5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93"/>
    <w:rsid w:val="00006216"/>
    <w:rsid w:val="00024870"/>
    <w:rsid w:val="00031138"/>
    <w:rsid w:val="00056B89"/>
    <w:rsid w:val="0007783D"/>
    <w:rsid w:val="00086BD0"/>
    <w:rsid w:val="000B3AB9"/>
    <w:rsid w:val="000B4BAF"/>
    <w:rsid w:val="000F1F33"/>
    <w:rsid w:val="000F3AC0"/>
    <w:rsid w:val="00124375"/>
    <w:rsid w:val="00126562"/>
    <w:rsid w:val="0012787B"/>
    <w:rsid w:val="0015172F"/>
    <w:rsid w:val="00154793"/>
    <w:rsid w:val="00173D2A"/>
    <w:rsid w:val="00173F29"/>
    <w:rsid w:val="001831EF"/>
    <w:rsid w:val="00187A4D"/>
    <w:rsid w:val="001A5DF5"/>
    <w:rsid w:val="001B68D6"/>
    <w:rsid w:val="001D0C3B"/>
    <w:rsid w:val="001D254B"/>
    <w:rsid w:val="001E64C4"/>
    <w:rsid w:val="00213AC8"/>
    <w:rsid w:val="002352EF"/>
    <w:rsid w:val="00274B4F"/>
    <w:rsid w:val="0028184E"/>
    <w:rsid w:val="00286BE3"/>
    <w:rsid w:val="002B375B"/>
    <w:rsid w:val="002E4958"/>
    <w:rsid w:val="002F1DCE"/>
    <w:rsid w:val="002F233C"/>
    <w:rsid w:val="00301E77"/>
    <w:rsid w:val="0033320A"/>
    <w:rsid w:val="00356681"/>
    <w:rsid w:val="00356AC9"/>
    <w:rsid w:val="003730D5"/>
    <w:rsid w:val="003A2370"/>
    <w:rsid w:val="003B1620"/>
    <w:rsid w:val="003B5A03"/>
    <w:rsid w:val="003E5E03"/>
    <w:rsid w:val="00475BFF"/>
    <w:rsid w:val="004872D6"/>
    <w:rsid w:val="00492B72"/>
    <w:rsid w:val="00493418"/>
    <w:rsid w:val="004A79DA"/>
    <w:rsid w:val="004B5E93"/>
    <w:rsid w:val="004B73FE"/>
    <w:rsid w:val="004C4039"/>
    <w:rsid w:val="004C7941"/>
    <w:rsid w:val="004D082B"/>
    <w:rsid w:val="004D71D5"/>
    <w:rsid w:val="004E2741"/>
    <w:rsid w:val="004E7F16"/>
    <w:rsid w:val="004F4607"/>
    <w:rsid w:val="004F4B91"/>
    <w:rsid w:val="00514C64"/>
    <w:rsid w:val="005160DA"/>
    <w:rsid w:val="005176AC"/>
    <w:rsid w:val="005275F1"/>
    <w:rsid w:val="00532859"/>
    <w:rsid w:val="0054283B"/>
    <w:rsid w:val="00546BCB"/>
    <w:rsid w:val="005A0983"/>
    <w:rsid w:val="005B0E98"/>
    <w:rsid w:val="005B5075"/>
    <w:rsid w:val="005E4864"/>
    <w:rsid w:val="005E513F"/>
    <w:rsid w:val="005F0D22"/>
    <w:rsid w:val="005F5A6F"/>
    <w:rsid w:val="00625A51"/>
    <w:rsid w:val="0063160B"/>
    <w:rsid w:val="00642184"/>
    <w:rsid w:val="00656F13"/>
    <w:rsid w:val="006643FE"/>
    <w:rsid w:val="00670A43"/>
    <w:rsid w:val="006712AE"/>
    <w:rsid w:val="00692F1A"/>
    <w:rsid w:val="006A2D9D"/>
    <w:rsid w:val="006B487D"/>
    <w:rsid w:val="006B6923"/>
    <w:rsid w:val="006C1E52"/>
    <w:rsid w:val="006D2763"/>
    <w:rsid w:val="006E21E9"/>
    <w:rsid w:val="00712214"/>
    <w:rsid w:val="00716365"/>
    <w:rsid w:val="00723660"/>
    <w:rsid w:val="0074387E"/>
    <w:rsid w:val="0076057D"/>
    <w:rsid w:val="0078620F"/>
    <w:rsid w:val="00794C96"/>
    <w:rsid w:val="007D20B7"/>
    <w:rsid w:val="007E72EF"/>
    <w:rsid w:val="008147A8"/>
    <w:rsid w:val="00817DC2"/>
    <w:rsid w:val="008201FB"/>
    <w:rsid w:val="00846E87"/>
    <w:rsid w:val="0086145B"/>
    <w:rsid w:val="00871B2E"/>
    <w:rsid w:val="008A3770"/>
    <w:rsid w:val="008C7798"/>
    <w:rsid w:val="00905432"/>
    <w:rsid w:val="00907153"/>
    <w:rsid w:val="0092012E"/>
    <w:rsid w:val="00926AD6"/>
    <w:rsid w:val="00951845"/>
    <w:rsid w:val="00954477"/>
    <w:rsid w:val="009710D6"/>
    <w:rsid w:val="00980E64"/>
    <w:rsid w:val="00987E74"/>
    <w:rsid w:val="009C340B"/>
    <w:rsid w:val="009C5AAA"/>
    <w:rsid w:val="009F3B15"/>
    <w:rsid w:val="009F722A"/>
    <w:rsid w:val="00A0153B"/>
    <w:rsid w:val="00A2048D"/>
    <w:rsid w:val="00A3029E"/>
    <w:rsid w:val="00A34E54"/>
    <w:rsid w:val="00A4120C"/>
    <w:rsid w:val="00A465D7"/>
    <w:rsid w:val="00A503B9"/>
    <w:rsid w:val="00A61306"/>
    <w:rsid w:val="00A66A76"/>
    <w:rsid w:val="00A755C0"/>
    <w:rsid w:val="00A8557E"/>
    <w:rsid w:val="00AA1B77"/>
    <w:rsid w:val="00AB3A23"/>
    <w:rsid w:val="00AD526D"/>
    <w:rsid w:val="00AE6B08"/>
    <w:rsid w:val="00AF7CB6"/>
    <w:rsid w:val="00B10A8F"/>
    <w:rsid w:val="00B26207"/>
    <w:rsid w:val="00B44FAC"/>
    <w:rsid w:val="00B62DA8"/>
    <w:rsid w:val="00B6314D"/>
    <w:rsid w:val="00BD1F93"/>
    <w:rsid w:val="00BD3546"/>
    <w:rsid w:val="00BD7DCE"/>
    <w:rsid w:val="00BE1BCE"/>
    <w:rsid w:val="00BE7F3F"/>
    <w:rsid w:val="00C229B9"/>
    <w:rsid w:val="00C62921"/>
    <w:rsid w:val="00C670BC"/>
    <w:rsid w:val="00C703E6"/>
    <w:rsid w:val="00C8014B"/>
    <w:rsid w:val="00CA1516"/>
    <w:rsid w:val="00CA45AF"/>
    <w:rsid w:val="00CB0145"/>
    <w:rsid w:val="00CC1433"/>
    <w:rsid w:val="00CD3FE0"/>
    <w:rsid w:val="00CD5977"/>
    <w:rsid w:val="00CE1AA7"/>
    <w:rsid w:val="00CE3CBE"/>
    <w:rsid w:val="00CF7838"/>
    <w:rsid w:val="00D13E5D"/>
    <w:rsid w:val="00D154F7"/>
    <w:rsid w:val="00D15DBF"/>
    <w:rsid w:val="00D32F2D"/>
    <w:rsid w:val="00D34713"/>
    <w:rsid w:val="00D47D78"/>
    <w:rsid w:val="00D6110A"/>
    <w:rsid w:val="00DB58AA"/>
    <w:rsid w:val="00DB6581"/>
    <w:rsid w:val="00DC55F1"/>
    <w:rsid w:val="00DC5D93"/>
    <w:rsid w:val="00E34978"/>
    <w:rsid w:val="00E37DDA"/>
    <w:rsid w:val="00E45CBB"/>
    <w:rsid w:val="00E50CA1"/>
    <w:rsid w:val="00E51F9E"/>
    <w:rsid w:val="00E531FC"/>
    <w:rsid w:val="00E66534"/>
    <w:rsid w:val="00E83D09"/>
    <w:rsid w:val="00E97C83"/>
    <w:rsid w:val="00EA777D"/>
    <w:rsid w:val="00EA7B26"/>
    <w:rsid w:val="00EC54EF"/>
    <w:rsid w:val="00EC76F1"/>
    <w:rsid w:val="00EF4E72"/>
    <w:rsid w:val="00F1076C"/>
    <w:rsid w:val="00F12A0C"/>
    <w:rsid w:val="00F22892"/>
    <w:rsid w:val="00F669AC"/>
    <w:rsid w:val="00F75522"/>
    <w:rsid w:val="00F815FB"/>
    <w:rsid w:val="00F818E5"/>
    <w:rsid w:val="00FC14E7"/>
    <w:rsid w:val="00FC6CA0"/>
    <w:rsid w:val="00FC70CC"/>
    <w:rsid w:val="00FD602E"/>
    <w:rsid w:val="00FD73AD"/>
    <w:rsid w:val="00FD78B9"/>
    <w:rsid w:val="00FE5419"/>
    <w:rsid w:val="00FE6398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A4E53"/>
  <w15:chartTrackingRefBased/>
  <w15:docId w15:val="{6DC7CCD1-9115-40D1-B0E8-E81B056B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1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513F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5E513F"/>
    <w:rPr>
      <w:rFonts w:ascii="Calibri" w:eastAsia="宋体" w:hAnsi="Calibri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E513F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5E513F"/>
    <w:rPr>
      <w:rFonts w:ascii="Calibri" w:eastAsia="宋体" w:hAnsi="Calibri" w:cs="Times New Roman"/>
      <w:szCs w:val="24"/>
    </w:rPr>
  </w:style>
  <w:style w:type="paragraph" w:styleId="a9">
    <w:name w:val="Revision"/>
    <w:hidden/>
    <w:uiPriority w:val="99"/>
    <w:semiHidden/>
    <w:rsid w:val="000F3AC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卞佳琪</dc:creator>
  <cp:keywords/>
  <dc:description/>
  <cp:lastModifiedBy>佳琪 卞</cp:lastModifiedBy>
  <cp:revision>9</cp:revision>
  <dcterms:created xsi:type="dcterms:W3CDTF">2025-01-07T02:01:00Z</dcterms:created>
  <dcterms:modified xsi:type="dcterms:W3CDTF">2026-01-30T06:59:00Z</dcterms:modified>
</cp:coreProperties>
</file>