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仿宋_GB2312" w:hAnsi="仿宋_GB2312" w:eastAsia="仿宋_GB2312" w:cs="仿宋_GB2312"/>
          <w:b/>
          <w:kern w:val="0"/>
          <w:sz w:val="40"/>
          <w:szCs w:val="30"/>
        </w:rPr>
      </w:pPr>
      <w:bookmarkStart w:id="7" w:name="_GoBack"/>
      <w:bookmarkEnd w:id="7"/>
      <w:r>
        <w:rPr>
          <w:rFonts w:hint="eastAsia" w:ascii="仿宋_GB2312" w:hAnsi="仿宋_GB2312" w:eastAsia="仿宋_GB2312" w:cs="仿宋_GB2312"/>
          <w:b/>
          <w:kern w:val="0"/>
          <w:sz w:val="40"/>
          <w:szCs w:val="30"/>
        </w:rPr>
        <w:t>资本</w:t>
      </w:r>
      <w:r>
        <w:rPr>
          <w:rFonts w:ascii="仿宋_GB2312" w:hAnsi="仿宋_GB2312" w:eastAsia="仿宋_GB2312" w:cs="仿宋_GB2312"/>
          <w:b/>
          <w:kern w:val="0"/>
          <w:sz w:val="40"/>
          <w:szCs w:val="30"/>
        </w:rPr>
        <w:t>构成信息披露附表</w:t>
      </w:r>
    </w:p>
    <w:p>
      <w:pPr>
        <w:tabs>
          <w:tab w:val="left" w:pos="57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以下监管资本</w:t>
      </w:r>
      <w:r>
        <w:rPr>
          <w:rFonts w:ascii="仿宋_GB2312" w:hAnsi="仿宋_GB2312" w:eastAsia="仿宋_GB2312" w:cs="仿宋_GB2312"/>
          <w:kern w:val="0"/>
          <w:sz w:val="30"/>
          <w:szCs w:val="30"/>
        </w:rPr>
        <w:t>项目</w:t>
      </w:r>
      <w:r>
        <w:rPr>
          <w:rFonts w:hint="eastAsia" w:ascii="仿宋_GB2312" w:hAnsi="仿宋_GB2312" w:eastAsia="仿宋_GB2312" w:cs="仿宋_GB2312"/>
          <w:kern w:val="0"/>
          <w:sz w:val="30"/>
          <w:szCs w:val="30"/>
        </w:rPr>
        <w:t>与资产</w:t>
      </w:r>
      <w:r>
        <w:rPr>
          <w:rFonts w:ascii="仿宋_GB2312" w:hAnsi="仿宋_GB2312" w:eastAsia="仿宋_GB2312" w:cs="仿宋_GB2312"/>
          <w:kern w:val="0"/>
          <w:sz w:val="30"/>
          <w:szCs w:val="30"/>
        </w:rPr>
        <w:t>负债表</w:t>
      </w:r>
      <w:r>
        <w:rPr>
          <w:rFonts w:hint="eastAsia" w:ascii="仿宋_GB2312" w:hAnsi="仿宋_GB2312" w:eastAsia="仿宋_GB2312" w:cs="仿宋_GB2312"/>
          <w:kern w:val="0"/>
          <w:sz w:val="30"/>
          <w:szCs w:val="30"/>
        </w:rPr>
        <w:t>对应</w:t>
      </w:r>
      <w:r>
        <w:rPr>
          <w:rFonts w:ascii="仿宋_GB2312" w:hAnsi="仿宋_GB2312" w:eastAsia="仿宋_GB2312" w:cs="仿宋_GB2312"/>
          <w:kern w:val="0"/>
          <w:sz w:val="30"/>
          <w:szCs w:val="30"/>
        </w:rPr>
        <w:t>关系</w:t>
      </w:r>
      <w:r>
        <w:rPr>
          <w:rFonts w:hint="eastAsia" w:ascii="仿宋_GB2312" w:hAnsi="仿宋_GB2312" w:eastAsia="仿宋_GB2312" w:cs="仿宋_GB2312"/>
          <w:kern w:val="0"/>
          <w:sz w:val="30"/>
          <w:szCs w:val="30"/>
        </w:rPr>
        <w:t>附表</w:t>
      </w:r>
      <w:r>
        <w:rPr>
          <w:rFonts w:ascii="仿宋_GB2312" w:hAnsi="仿宋_GB2312" w:eastAsia="仿宋_GB2312" w:cs="仿宋_GB2312"/>
          <w:kern w:val="0"/>
          <w:sz w:val="30"/>
          <w:szCs w:val="30"/>
        </w:rPr>
        <w:t>依据《</w:t>
      </w:r>
      <w:r>
        <w:rPr>
          <w:rFonts w:hint="eastAsia" w:ascii="仿宋_GB2312" w:hAnsi="仿宋_GB2312" w:eastAsia="仿宋_GB2312" w:cs="仿宋_GB2312"/>
          <w:kern w:val="0"/>
          <w:sz w:val="30"/>
          <w:szCs w:val="30"/>
        </w:rPr>
        <w:t>中国银监会</w:t>
      </w:r>
      <w:r>
        <w:rPr>
          <w:rFonts w:ascii="仿宋_GB2312" w:hAnsi="仿宋_GB2312" w:eastAsia="仿宋_GB2312" w:cs="仿宋_GB2312"/>
          <w:kern w:val="0"/>
          <w:sz w:val="30"/>
          <w:szCs w:val="30"/>
        </w:rPr>
        <w:t>关于</w:t>
      </w:r>
      <w:r>
        <w:rPr>
          <w:rFonts w:hint="eastAsia" w:ascii="仿宋_GB2312" w:hAnsi="仿宋_GB2312" w:eastAsia="仿宋_GB2312" w:cs="仿宋_GB2312"/>
          <w:kern w:val="0"/>
          <w:sz w:val="30"/>
          <w:szCs w:val="30"/>
        </w:rPr>
        <w:t>印发商业</w:t>
      </w:r>
      <w:r>
        <w:rPr>
          <w:rFonts w:ascii="仿宋_GB2312" w:hAnsi="仿宋_GB2312" w:eastAsia="仿宋_GB2312" w:cs="仿宋_GB2312"/>
          <w:kern w:val="0"/>
          <w:sz w:val="30"/>
          <w:szCs w:val="30"/>
        </w:rPr>
        <w:t>银行资本</w:t>
      </w:r>
      <w:r>
        <w:rPr>
          <w:rFonts w:hint="eastAsia" w:ascii="仿宋_GB2312" w:hAnsi="仿宋_GB2312" w:eastAsia="仿宋_GB2312" w:cs="仿宋_GB2312"/>
          <w:kern w:val="0"/>
          <w:sz w:val="30"/>
          <w:szCs w:val="30"/>
        </w:rPr>
        <w:t>监管</w:t>
      </w:r>
      <w:r>
        <w:rPr>
          <w:rFonts w:ascii="仿宋_GB2312" w:hAnsi="仿宋_GB2312" w:eastAsia="仿宋_GB2312" w:cs="仿宋_GB2312"/>
          <w:kern w:val="0"/>
          <w:sz w:val="30"/>
          <w:szCs w:val="30"/>
        </w:rPr>
        <w:t>配套</w:t>
      </w:r>
      <w:r>
        <w:rPr>
          <w:rFonts w:hint="eastAsia" w:ascii="仿宋_GB2312" w:hAnsi="仿宋_GB2312" w:eastAsia="仿宋_GB2312" w:cs="仿宋_GB2312"/>
          <w:kern w:val="0"/>
          <w:sz w:val="30"/>
          <w:szCs w:val="30"/>
        </w:rPr>
        <w:t>政策</w:t>
      </w:r>
      <w:r>
        <w:rPr>
          <w:rFonts w:ascii="仿宋_GB2312" w:hAnsi="仿宋_GB2312" w:eastAsia="仿宋_GB2312" w:cs="仿宋_GB2312"/>
          <w:kern w:val="0"/>
          <w:sz w:val="30"/>
          <w:szCs w:val="30"/>
        </w:rPr>
        <w:t>文件的</w:t>
      </w:r>
      <w:r>
        <w:rPr>
          <w:rFonts w:hint="eastAsia" w:ascii="仿宋_GB2312" w:hAnsi="仿宋_GB2312" w:eastAsia="仿宋_GB2312" w:cs="仿宋_GB2312"/>
          <w:kern w:val="0"/>
          <w:sz w:val="30"/>
          <w:szCs w:val="30"/>
        </w:rPr>
        <w:t>通知</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(银监发[</w:t>
      </w:r>
      <w:r>
        <w:rPr>
          <w:rFonts w:ascii="仿宋_GB2312" w:hAnsi="仿宋_GB2312" w:eastAsia="仿宋_GB2312" w:cs="仿宋_GB2312"/>
          <w:kern w:val="0"/>
          <w:sz w:val="30"/>
          <w:szCs w:val="30"/>
        </w:rPr>
        <w:t>2013</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33</w:t>
      </w:r>
      <w:r>
        <w:rPr>
          <w:rFonts w:hint="eastAsia" w:ascii="仿宋_GB2312" w:hAnsi="仿宋_GB2312" w:eastAsia="仿宋_GB2312" w:cs="仿宋_GB2312"/>
          <w:kern w:val="0"/>
          <w:sz w:val="30"/>
          <w:szCs w:val="30"/>
        </w:rPr>
        <w:t>号)</w:t>
      </w:r>
      <w:r>
        <w:rPr>
          <w:rFonts w:ascii="仿宋_GB2312" w:hAnsi="仿宋_GB2312" w:eastAsia="仿宋_GB2312" w:cs="仿宋_GB2312"/>
          <w:kern w:val="0"/>
          <w:sz w:val="30"/>
          <w:szCs w:val="30"/>
        </w:rPr>
        <w:t>中</w:t>
      </w:r>
      <w:r>
        <w:rPr>
          <w:rFonts w:hint="eastAsia" w:ascii="仿宋_GB2312" w:hAnsi="仿宋_GB2312" w:eastAsia="仿宋_GB2312" w:cs="仿宋_GB2312"/>
          <w:kern w:val="0"/>
          <w:sz w:val="30"/>
          <w:szCs w:val="30"/>
        </w:rPr>
        <w:t>《关于商业</w:t>
      </w:r>
      <w:r>
        <w:rPr>
          <w:rFonts w:ascii="仿宋_GB2312" w:hAnsi="仿宋_GB2312" w:eastAsia="仿宋_GB2312" w:cs="仿宋_GB2312"/>
          <w:kern w:val="0"/>
          <w:sz w:val="30"/>
          <w:szCs w:val="30"/>
        </w:rPr>
        <w:t>银行</w:t>
      </w:r>
      <w:r>
        <w:rPr>
          <w:rFonts w:hint="eastAsia" w:ascii="仿宋_GB2312" w:hAnsi="仿宋_GB2312" w:eastAsia="仿宋_GB2312" w:cs="仿宋_GB2312"/>
          <w:kern w:val="0"/>
          <w:sz w:val="30"/>
          <w:szCs w:val="30"/>
        </w:rPr>
        <w:t>资本</w:t>
      </w:r>
      <w:r>
        <w:rPr>
          <w:rFonts w:ascii="仿宋_GB2312" w:hAnsi="仿宋_GB2312" w:eastAsia="仿宋_GB2312" w:cs="仿宋_GB2312"/>
          <w:kern w:val="0"/>
          <w:sz w:val="30"/>
          <w:szCs w:val="30"/>
        </w:rPr>
        <w:t>构成</w:t>
      </w:r>
      <w:r>
        <w:rPr>
          <w:rFonts w:hint="eastAsia" w:ascii="仿宋_GB2312" w:hAnsi="仿宋_GB2312" w:eastAsia="仿宋_GB2312" w:cs="仿宋_GB2312"/>
          <w:kern w:val="0"/>
          <w:sz w:val="30"/>
          <w:szCs w:val="30"/>
        </w:rPr>
        <w:t>信息</w:t>
      </w:r>
      <w:r>
        <w:rPr>
          <w:rFonts w:ascii="仿宋_GB2312" w:hAnsi="仿宋_GB2312" w:eastAsia="仿宋_GB2312" w:cs="仿宋_GB2312"/>
          <w:kern w:val="0"/>
          <w:sz w:val="30"/>
          <w:szCs w:val="30"/>
        </w:rPr>
        <w:t>披露</w:t>
      </w:r>
      <w:r>
        <w:rPr>
          <w:rFonts w:hint="eastAsia" w:ascii="仿宋_GB2312" w:hAnsi="仿宋_GB2312" w:eastAsia="仿宋_GB2312" w:cs="仿宋_GB2312"/>
          <w:kern w:val="0"/>
          <w:sz w:val="30"/>
          <w:szCs w:val="30"/>
        </w:rPr>
        <w:t>的</w:t>
      </w:r>
      <w:r>
        <w:rPr>
          <w:rFonts w:ascii="仿宋_GB2312" w:hAnsi="仿宋_GB2312" w:eastAsia="仿宋_GB2312" w:cs="仿宋_GB2312"/>
          <w:kern w:val="0"/>
          <w:sz w:val="30"/>
          <w:szCs w:val="30"/>
        </w:rPr>
        <w:t>监管</w:t>
      </w:r>
      <w:r>
        <w:rPr>
          <w:rFonts w:hint="eastAsia" w:ascii="仿宋_GB2312" w:hAnsi="仿宋_GB2312" w:eastAsia="仿宋_GB2312" w:cs="仿宋_GB2312"/>
          <w:kern w:val="0"/>
          <w:sz w:val="30"/>
          <w:szCs w:val="30"/>
        </w:rPr>
        <w:t>要求</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进行</w:t>
      </w:r>
      <w:r>
        <w:rPr>
          <w:rFonts w:ascii="仿宋_GB2312" w:hAnsi="仿宋_GB2312" w:eastAsia="仿宋_GB2312" w:cs="仿宋_GB2312"/>
          <w:kern w:val="0"/>
          <w:sz w:val="30"/>
          <w:szCs w:val="30"/>
        </w:rPr>
        <w:t>披露，</w:t>
      </w:r>
      <w:r>
        <w:rPr>
          <w:rFonts w:hint="eastAsia" w:ascii="仿宋_GB2312" w:hAnsi="仿宋_GB2312" w:eastAsia="仿宋_GB2312" w:cs="仿宋_GB2312"/>
          <w:kern w:val="0"/>
          <w:sz w:val="30"/>
          <w:szCs w:val="30"/>
        </w:rPr>
        <w:t>报表</w:t>
      </w:r>
      <w:r>
        <w:rPr>
          <w:rFonts w:ascii="仿宋_GB2312" w:hAnsi="仿宋_GB2312" w:eastAsia="仿宋_GB2312" w:cs="仿宋_GB2312"/>
          <w:kern w:val="0"/>
          <w:sz w:val="30"/>
          <w:szCs w:val="30"/>
        </w:rPr>
        <w:t>日</w:t>
      </w:r>
      <w:r>
        <w:rPr>
          <w:rFonts w:hint="eastAsia" w:ascii="仿宋_GB2312" w:hAnsi="仿宋_GB2312" w:eastAsia="仿宋_GB2312" w:cs="仿宋_GB2312"/>
          <w:kern w:val="0"/>
          <w:sz w:val="30"/>
          <w:szCs w:val="30"/>
        </w:rPr>
        <w:t>为20</w:t>
      </w:r>
      <w:r>
        <w:rPr>
          <w:rFonts w:ascii="仿宋_GB2312" w:hAnsi="仿宋_GB2312" w:eastAsia="仿宋_GB2312" w:cs="仿宋_GB2312"/>
          <w:kern w:val="0"/>
          <w:sz w:val="30"/>
          <w:szCs w:val="30"/>
        </w:rPr>
        <w:t>2</w:t>
      </w: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rPr>
        <w:t>年</w:t>
      </w:r>
      <w:r>
        <w:rPr>
          <w:rFonts w:hint="eastAsia" w:ascii="仿宋_GB2312" w:hAnsi="仿宋_GB2312" w:eastAsia="仿宋_GB2312" w:cs="仿宋_GB2312"/>
          <w:kern w:val="0"/>
          <w:sz w:val="30"/>
          <w:szCs w:val="30"/>
          <w:lang w:val="en-US" w:eastAsia="zh-CN"/>
        </w:rPr>
        <w:t>9</w:t>
      </w:r>
      <w:r>
        <w:rPr>
          <w:rFonts w:hint="eastAsia" w:ascii="仿宋_GB2312" w:hAnsi="仿宋_GB2312" w:eastAsia="仿宋_GB2312" w:cs="仿宋_GB2312"/>
          <w:kern w:val="0"/>
          <w:sz w:val="30"/>
          <w:szCs w:val="30"/>
        </w:rPr>
        <w:t>月3</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hAnsi="仿宋_GB2312" w:eastAsia="仿宋_GB2312" w:cs="仿宋_GB2312"/>
          <w:kern w:val="0"/>
          <w:sz w:val="30"/>
          <w:szCs w:val="30"/>
        </w:rPr>
      </w:pPr>
    </w:p>
    <w:p>
      <w:pPr>
        <w:tabs>
          <w:tab w:val="left" w:pos="57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附表</w:t>
      </w:r>
      <w:r>
        <w:rPr>
          <w:rFonts w:ascii="仿宋_GB2312" w:hAnsi="仿宋_GB2312" w:eastAsia="仿宋_GB2312" w:cs="仿宋_GB2312"/>
          <w:kern w:val="0"/>
          <w:sz w:val="30"/>
          <w:szCs w:val="30"/>
        </w:rPr>
        <w:t>1</w:t>
      </w:r>
      <w:r>
        <w:rPr>
          <w:rFonts w:hint="eastAsia" w:ascii="仿宋_GB2312" w:hAnsi="仿宋_GB2312" w:eastAsia="仿宋_GB2312" w:cs="仿宋_GB2312"/>
          <w:kern w:val="0"/>
          <w:sz w:val="30"/>
          <w:szCs w:val="30"/>
        </w:rPr>
        <w:t>：资本构成披露模板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right"/>
        <w:rPr>
          <w:rFonts w:ascii="仿宋_GB2312" w:hAnsi="仿宋_GB2312" w:eastAsia="仿宋_GB2312" w:cs="仿宋_GB2312"/>
          <w:kern w:val="0"/>
          <w:sz w:val="24"/>
        </w:rPr>
      </w:pPr>
      <w:r>
        <w:rPr>
          <w:rFonts w:hint="eastAsia" w:ascii="仿宋_GB2312" w:hAnsi="仿宋_GB2312" w:eastAsia="仿宋_GB2312" w:cs="仿宋_GB2312"/>
          <w:kern w:val="0"/>
          <w:sz w:val="24"/>
        </w:rPr>
        <w:t>单位：千元（人民币）、</w:t>
      </w:r>
      <w:r>
        <w:rPr>
          <w:rFonts w:ascii="仿宋_GB2312" w:hAnsi="仿宋_GB2312" w:eastAsia="仿宋_GB2312" w:cs="仿宋_GB2312"/>
          <w:kern w:val="0"/>
          <w:sz w:val="24"/>
        </w:rPr>
        <w:t>%</w:t>
      </w:r>
    </w:p>
    <w:tbl>
      <w:tblPr>
        <w:tblStyle w:val="5"/>
        <w:tblW w:w="8860" w:type="dxa"/>
        <w:jc w:val="center"/>
        <w:tblInd w:w="0" w:type="dxa"/>
        <w:tblLayout w:type="fixed"/>
        <w:tblCellMar>
          <w:top w:w="0" w:type="dxa"/>
          <w:left w:w="108" w:type="dxa"/>
          <w:bottom w:w="0" w:type="dxa"/>
          <w:right w:w="108" w:type="dxa"/>
        </w:tblCellMar>
      </w:tblPr>
      <w:tblGrid>
        <w:gridCol w:w="531"/>
        <w:gridCol w:w="5379"/>
        <w:gridCol w:w="2950"/>
      </w:tblGrid>
      <w:tr>
        <w:tblPrEx>
          <w:tblLayout w:type="fixed"/>
          <w:tblCellMar>
            <w:top w:w="0" w:type="dxa"/>
            <w:left w:w="108" w:type="dxa"/>
            <w:bottom w:w="0" w:type="dxa"/>
            <w:right w:w="108" w:type="dxa"/>
          </w:tblCellMar>
        </w:tblPrEx>
        <w:trPr>
          <w:trHeight w:val="402" w:hRule="atLeast"/>
          <w:jc w:val="center"/>
        </w:trPr>
        <w:tc>
          <w:tcPr>
            <w:tcW w:w="5910" w:type="dxa"/>
            <w:gridSpan w:val="2"/>
            <w:tcBorders>
              <w:top w:val="single" w:color="auto" w:sz="8" w:space="0"/>
              <w:left w:val="single" w:color="auto" w:sz="8" w:space="0"/>
              <w:bottom w:val="single" w:color="auto" w:sz="8" w:space="0"/>
              <w:right w:val="single" w:color="auto" w:sz="8" w:space="0"/>
            </w:tcBorders>
            <w:shd w:val="clear" w:color="auto" w:fill="969696"/>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核心一级资本：</w:t>
            </w:r>
            <w:r>
              <w:rPr>
                <w:rFonts w:ascii="宋体" w:hAnsi="宋体" w:cs="宋体"/>
                <w:b/>
                <w:bCs/>
                <w:kern w:val="0"/>
                <w:szCs w:val="21"/>
              </w:rPr>
              <w:t xml:space="preserve"> </w:t>
            </w:r>
          </w:p>
        </w:tc>
        <w:tc>
          <w:tcPr>
            <w:tcW w:w="2950" w:type="dxa"/>
            <w:tcBorders>
              <w:top w:val="single" w:color="auto" w:sz="8" w:space="0"/>
              <w:left w:val="nil"/>
              <w:bottom w:val="single" w:color="auto" w:sz="8" w:space="0"/>
              <w:right w:val="single" w:color="auto" w:sz="8" w:space="0"/>
            </w:tcBorders>
            <w:shd w:val="clear" w:color="auto" w:fill="969696"/>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　数额</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cs="宋体"/>
                <w:kern w:val="0"/>
                <w:szCs w:val="21"/>
              </w:rPr>
            </w:pPr>
            <w:r>
              <w:rPr>
                <w:rFonts w:ascii="宋体" w:cs="宋体"/>
                <w:kern w:val="0"/>
                <w:szCs w:val="21"/>
              </w:rPr>
              <w:t>1</w:t>
            </w:r>
          </w:p>
        </w:tc>
        <w:tc>
          <w:tcPr>
            <w:tcW w:w="5379" w:type="dxa"/>
            <w:tcBorders>
              <w:top w:val="nil"/>
              <w:left w:val="nil"/>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实收资本</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1,803,073</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2</w:t>
            </w:r>
          </w:p>
        </w:tc>
        <w:tc>
          <w:tcPr>
            <w:tcW w:w="5379" w:type="dxa"/>
            <w:tcBorders>
              <w:top w:val="nil"/>
              <w:left w:val="nil"/>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留存收益</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hint="eastAsia" w:ascii="宋体" w:hAnsi="宋体" w:cs="宋体"/>
                <w:kern w:val="0"/>
                <w:szCs w:val="21"/>
              </w:rPr>
              <w:t>2a</w:t>
            </w:r>
          </w:p>
        </w:tc>
        <w:tc>
          <w:tcPr>
            <w:tcW w:w="5379" w:type="dxa"/>
            <w:tcBorders>
              <w:top w:val="nil"/>
              <w:left w:val="nil"/>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宋体" w:hAnsi="宋体" w:cs="宋体"/>
                <w:kern w:val="0"/>
                <w:szCs w:val="21"/>
              </w:rPr>
            </w:pPr>
            <w:r>
              <w:rPr>
                <w:rFonts w:hint="eastAsia" w:ascii="宋体" w:hAnsi="宋体" w:cs="宋体"/>
                <w:kern w:val="0"/>
                <w:szCs w:val="21"/>
              </w:rPr>
              <w:t>盈余公积</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5,054,053</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hint="eastAsia" w:ascii="宋体" w:hAnsi="宋体" w:cs="宋体"/>
                <w:kern w:val="0"/>
                <w:szCs w:val="21"/>
              </w:rPr>
              <w:t>2b</w:t>
            </w:r>
          </w:p>
        </w:tc>
        <w:tc>
          <w:tcPr>
            <w:tcW w:w="5379" w:type="dxa"/>
            <w:tcBorders>
              <w:top w:val="nil"/>
              <w:left w:val="nil"/>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宋体" w:hAnsi="宋体" w:cs="宋体"/>
                <w:kern w:val="0"/>
                <w:szCs w:val="21"/>
              </w:rPr>
            </w:pPr>
            <w:r>
              <w:rPr>
                <w:rFonts w:hint="eastAsia" w:ascii="宋体" w:hAnsi="宋体" w:cs="宋体"/>
                <w:kern w:val="0"/>
                <w:szCs w:val="21"/>
              </w:rPr>
              <w:t>一般风险准备</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3,584,529</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hint="eastAsia" w:ascii="宋体" w:hAnsi="宋体" w:cs="宋体"/>
                <w:kern w:val="0"/>
                <w:szCs w:val="21"/>
              </w:rPr>
              <w:t>2c</w:t>
            </w:r>
          </w:p>
        </w:tc>
        <w:tc>
          <w:tcPr>
            <w:tcW w:w="5379" w:type="dxa"/>
            <w:tcBorders>
              <w:top w:val="nil"/>
              <w:left w:val="nil"/>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未分配利润</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1,859,457</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3</w:t>
            </w:r>
          </w:p>
        </w:tc>
        <w:tc>
          <w:tcPr>
            <w:tcW w:w="5379" w:type="dxa"/>
            <w:tcBorders>
              <w:top w:val="nil"/>
              <w:left w:val="nil"/>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累计其他综合收益和公开储备</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3a</w:t>
            </w:r>
          </w:p>
        </w:tc>
        <w:tc>
          <w:tcPr>
            <w:tcW w:w="5379" w:type="dxa"/>
            <w:tcBorders>
              <w:top w:val="nil"/>
              <w:left w:val="nil"/>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资本公积</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2,290,413</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3b</w:t>
            </w:r>
          </w:p>
        </w:tc>
        <w:tc>
          <w:tcPr>
            <w:tcW w:w="5379" w:type="dxa"/>
            <w:tcBorders>
              <w:top w:val="nil"/>
              <w:left w:val="nil"/>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其他</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895,485</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4</w:t>
            </w:r>
          </w:p>
        </w:tc>
        <w:tc>
          <w:tcPr>
            <w:tcW w:w="5379" w:type="dxa"/>
            <w:tcBorders>
              <w:top w:val="nil"/>
              <w:left w:val="nil"/>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过渡期内可计入核心一级资本数额（仅适用于非股份公司，股份制公司的银行填</w:t>
            </w:r>
            <w:r>
              <w:rPr>
                <w:rFonts w:ascii="宋体" w:hAnsi="宋体" w:cs="宋体"/>
                <w:kern w:val="0"/>
                <w:szCs w:val="21"/>
              </w:rPr>
              <w:t>0</w:t>
            </w:r>
            <w:r>
              <w:rPr>
                <w:rFonts w:hint="eastAsia" w:ascii="宋体" w:hAnsi="宋体" w:cs="宋体"/>
                <w:kern w:val="0"/>
                <w:szCs w:val="21"/>
              </w:rPr>
              <w:t>即可）</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5</w:t>
            </w:r>
          </w:p>
        </w:tc>
        <w:tc>
          <w:tcPr>
            <w:tcW w:w="5379" w:type="dxa"/>
            <w:tcBorders>
              <w:top w:val="nil"/>
              <w:left w:val="nil"/>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少数股东资本可计入部分</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28,029</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6</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cs="宋体"/>
                <w:b/>
                <w:bCs/>
                <w:kern w:val="0"/>
                <w:szCs w:val="21"/>
              </w:rPr>
            </w:pPr>
            <w:r>
              <w:rPr>
                <w:rFonts w:hint="eastAsia" w:ascii="宋体" w:hAnsi="宋体" w:cs="宋体"/>
                <w:kern w:val="0"/>
                <w:szCs w:val="21"/>
              </w:rPr>
              <w:t>监管调整前的核心一级资本</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15,515,038</w:t>
            </w:r>
          </w:p>
        </w:tc>
      </w:tr>
      <w:tr>
        <w:tblPrEx>
          <w:tblLayout w:type="fixed"/>
          <w:tblCellMar>
            <w:top w:w="0" w:type="dxa"/>
            <w:left w:w="108" w:type="dxa"/>
            <w:bottom w:w="0" w:type="dxa"/>
            <w:right w:w="108" w:type="dxa"/>
          </w:tblCellMar>
        </w:tblPrEx>
        <w:trPr>
          <w:trHeight w:val="402" w:hRule="atLeast"/>
          <w:jc w:val="center"/>
        </w:trPr>
        <w:tc>
          <w:tcPr>
            <w:tcW w:w="5910" w:type="dxa"/>
            <w:gridSpan w:val="2"/>
            <w:tcBorders>
              <w:top w:val="single" w:color="auto" w:sz="8" w:space="0"/>
              <w:left w:val="single" w:color="auto" w:sz="8" w:space="0"/>
              <w:bottom w:val="single" w:color="auto" w:sz="8" w:space="0"/>
              <w:right w:val="single" w:color="auto" w:sz="8" w:space="0"/>
            </w:tcBorders>
            <w:shd w:val="clear" w:color="auto" w:fill="969696"/>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核心一级资本：监管调整</w:t>
            </w:r>
          </w:p>
        </w:tc>
        <w:tc>
          <w:tcPr>
            <w:tcW w:w="2950" w:type="dxa"/>
            <w:tcBorders>
              <w:top w:val="nil"/>
              <w:left w:val="nil"/>
              <w:bottom w:val="single" w:color="auto" w:sz="8" w:space="0"/>
              <w:right w:val="single" w:color="auto" w:sz="8" w:space="0"/>
            </w:tcBorders>
            <w:shd w:val="clear" w:color="auto" w:fill="969696"/>
            <w:noWrap w:val="0"/>
            <w:vAlign w:val="center"/>
          </w:tcPr>
          <w:p>
            <w:pPr>
              <w:jc w:val="right"/>
              <w:rPr>
                <w:rFonts w:hint="default" w:ascii="Arial" w:hAnsi="Arial" w:cs="Arial"/>
                <w:b/>
                <w:bCs/>
                <w:kern w:val="0"/>
                <w:szCs w:val="21"/>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6"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cs="宋体"/>
                <w:kern w:val="0"/>
                <w:szCs w:val="21"/>
              </w:rPr>
            </w:pPr>
            <w:r>
              <w:rPr>
                <w:rFonts w:ascii="宋体" w:cs="宋体"/>
                <w:kern w:val="0"/>
                <w:szCs w:val="21"/>
              </w:rPr>
              <w:t>7</w:t>
            </w:r>
          </w:p>
        </w:tc>
        <w:tc>
          <w:tcPr>
            <w:tcW w:w="5379" w:type="dxa"/>
            <w:tcBorders>
              <w:top w:val="single" w:color="auto" w:sz="8" w:space="0"/>
              <w:left w:val="single" w:color="auto" w:sz="6" w:space="0"/>
              <w:bottom w:val="single" w:color="auto" w:sz="8" w:space="0"/>
              <w:right w:val="single" w:color="auto" w:sz="6"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审慎估值调整</w:t>
            </w:r>
          </w:p>
        </w:tc>
        <w:tc>
          <w:tcPr>
            <w:tcW w:w="2950" w:type="dxa"/>
            <w:tcBorders>
              <w:top w:val="single" w:color="auto" w:sz="8" w:space="0"/>
              <w:left w:val="single" w:color="auto" w:sz="6" w:space="0"/>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8</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商誉（扣除递延税负债）</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9</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其他无形资产（土地使用权除外）（扣除递延税负债）</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201,895</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10</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依赖未来盈利的由经营亏损引起的净递延税资产</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645"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11</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对未按公允价值计量的项目进行现金流套期形成的储备</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12</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贷款损失准备缺口</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13</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资产证券化销售利得</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14</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自身信用风险变化导致其负债公允价值变化带来的未实现损益</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15</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确定受益类的养老金资产净额（扣除递延税项负债）</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16</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直接或间接持有本银行的普通股</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17</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银行间或银行与其他金融机构间通过协议相互持有的核心一级资本</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18</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对未并表金融机构小额少数资本投资中的核心一级资本中应扣除金额</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19</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对未并表金融机构大额少数资本投资中的核心一级资本中应扣除金额</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91,888</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20</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抵押贷款服务权</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95"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21</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其他依赖于银行未来盈利的净递延税资产中应扣除金额</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0</w:t>
            </w:r>
          </w:p>
        </w:tc>
      </w:tr>
      <w:tr>
        <w:tblPrEx>
          <w:tblLayout w:type="fixed"/>
          <w:tblCellMar>
            <w:top w:w="0" w:type="dxa"/>
            <w:left w:w="108" w:type="dxa"/>
            <w:bottom w:w="0" w:type="dxa"/>
            <w:right w:w="108" w:type="dxa"/>
          </w:tblCellMar>
        </w:tblPrEx>
        <w:trPr>
          <w:trHeight w:val="555"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22</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对未并表金融机构大额少数资本投资中的核心一级资本和其他依赖于银行未来盈利的净递延税资产的未扣除部分超过核心一级资本</w:t>
            </w:r>
            <w:r>
              <w:rPr>
                <w:rFonts w:ascii="宋体" w:hAnsi="宋体" w:cs="宋体"/>
                <w:kern w:val="0"/>
                <w:szCs w:val="21"/>
              </w:rPr>
              <w:t>15%</w:t>
            </w:r>
            <w:r>
              <w:rPr>
                <w:rFonts w:hint="eastAsia" w:ascii="宋体" w:hAnsi="宋体" w:cs="宋体"/>
                <w:kern w:val="0"/>
                <w:szCs w:val="21"/>
              </w:rPr>
              <w:t>的应扣除金额</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440,682</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23</w:t>
            </w:r>
          </w:p>
        </w:tc>
        <w:tc>
          <w:tcPr>
            <w:tcW w:w="5379" w:type="dxa"/>
            <w:tcBorders>
              <w:top w:val="nil"/>
              <w:left w:val="nil"/>
              <w:bottom w:val="single" w:color="auto" w:sz="8" w:space="0"/>
              <w:right w:val="single" w:color="auto" w:sz="8" w:space="0"/>
            </w:tcBorders>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其中：应在对金融机构大额少数资本投资中扣除的金额</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253,906</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24</w:t>
            </w:r>
          </w:p>
        </w:tc>
        <w:tc>
          <w:tcPr>
            <w:tcW w:w="5379" w:type="dxa"/>
            <w:tcBorders>
              <w:top w:val="single" w:color="auto" w:sz="8" w:space="0"/>
              <w:left w:val="nil"/>
              <w:bottom w:val="single" w:color="auto" w:sz="8" w:space="0"/>
              <w:right w:val="single" w:color="auto" w:sz="8" w:space="0"/>
            </w:tcBorders>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其中：抵押贷款服务权应扣除的金额</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25</w:t>
            </w:r>
          </w:p>
        </w:tc>
        <w:tc>
          <w:tcPr>
            <w:tcW w:w="5379" w:type="dxa"/>
            <w:tcBorders>
              <w:top w:val="nil"/>
              <w:left w:val="nil"/>
              <w:bottom w:val="single" w:color="auto" w:sz="8" w:space="0"/>
              <w:right w:val="single" w:color="auto" w:sz="8" w:space="0"/>
            </w:tcBorders>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其中：应在其他依赖于银行未来盈利的净递延税资产中扣除的金额</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186,776</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26a</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对有控制权但不并表的金融机构的核心一级资本投资</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26b</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bookmarkStart w:id="0" w:name="OLE_LINK10"/>
            <w:bookmarkEnd w:id="0"/>
            <w:r>
              <w:rPr>
                <w:rFonts w:hint="eastAsia" w:ascii="宋体" w:hAnsi="宋体" w:cs="宋体"/>
                <w:kern w:val="0"/>
                <w:szCs w:val="21"/>
              </w:rPr>
              <w:t>对有控制权但不并表的金融机构的</w:t>
            </w:r>
            <w:bookmarkStart w:id="1" w:name="OLE_LINK8"/>
            <w:bookmarkEnd w:id="1"/>
            <w:r>
              <w:rPr>
                <w:rFonts w:hint="eastAsia" w:ascii="宋体" w:hAnsi="宋体" w:cs="宋体"/>
                <w:kern w:val="0"/>
                <w:szCs w:val="21"/>
              </w:rPr>
              <w:t>核心一级资本缺口</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26c</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bookmarkStart w:id="2" w:name="OLE_LINK11"/>
            <w:bookmarkEnd w:id="2"/>
            <w:r>
              <w:rPr>
                <w:rFonts w:hint="eastAsia" w:ascii="宋体" w:hAnsi="宋体" w:cs="宋体"/>
                <w:kern w:val="0"/>
                <w:szCs w:val="21"/>
              </w:rPr>
              <w:t>其他应在核心一级资本中扣除的项目合计</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27</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应从其他一级资本和二级资本中扣除的未扣缺口</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cs="宋体"/>
                <w:b/>
                <w:bCs/>
                <w:kern w:val="0"/>
                <w:szCs w:val="21"/>
              </w:rPr>
            </w:pPr>
            <w:r>
              <w:rPr>
                <w:rFonts w:ascii="宋体" w:cs="宋体"/>
                <w:b/>
                <w:bCs/>
                <w:kern w:val="0"/>
                <w:szCs w:val="21"/>
              </w:rPr>
              <w:t>28</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核心一级资本监管调整总和</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734,464</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b/>
                <w:bCs/>
                <w:kern w:val="0"/>
                <w:szCs w:val="21"/>
              </w:rPr>
            </w:pPr>
            <w:r>
              <w:rPr>
                <w:rFonts w:ascii="宋体" w:hAnsi="宋体" w:cs="宋体"/>
                <w:b/>
                <w:bCs/>
                <w:kern w:val="0"/>
                <w:szCs w:val="21"/>
              </w:rPr>
              <w:t>29</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核心一级资本</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14,780,574</w:t>
            </w:r>
          </w:p>
        </w:tc>
      </w:tr>
      <w:tr>
        <w:tblPrEx>
          <w:tblLayout w:type="fixed"/>
          <w:tblCellMar>
            <w:top w:w="0" w:type="dxa"/>
            <w:left w:w="108" w:type="dxa"/>
            <w:bottom w:w="0" w:type="dxa"/>
            <w:right w:w="108" w:type="dxa"/>
          </w:tblCellMar>
        </w:tblPrEx>
        <w:trPr>
          <w:trHeight w:val="402" w:hRule="atLeast"/>
          <w:jc w:val="center"/>
        </w:trPr>
        <w:tc>
          <w:tcPr>
            <w:tcW w:w="5910" w:type="dxa"/>
            <w:gridSpan w:val="2"/>
            <w:tcBorders>
              <w:top w:val="single" w:color="auto" w:sz="8" w:space="0"/>
              <w:left w:val="single" w:color="auto" w:sz="8" w:space="0"/>
              <w:bottom w:val="single" w:color="auto" w:sz="8" w:space="0"/>
              <w:right w:val="single" w:color="auto" w:sz="8" w:space="0"/>
            </w:tcBorders>
            <w:shd w:val="clear" w:color="auto" w:fill="969696"/>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其他一级资本：</w:t>
            </w:r>
            <w:r>
              <w:rPr>
                <w:rFonts w:ascii="宋体" w:hAnsi="宋体" w:cs="宋体"/>
                <w:b/>
                <w:bCs/>
                <w:kern w:val="0"/>
                <w:szCs w:val="21"/>
              </w:rPr>
              <w:t xml:space="preserve"> </w:t>
            </w:r>
          </w:p>
        </w:tc>
        <w:tc>
          <w:tcPr>
            <w:tcW w:w="2950" w:type="dxa"/>
            <w:tcBorders>
              <w:top w:val="nil"/>
              <w:left w:val="nil"/>
              <w:bottom w:val="single" w:color="auto" w:sz="8" w:space="0"/>
              <w:right w:val="single" w:color="auto" w:sz="8" w:space="0"/>
            </w:tcBorders>
            <w:shd w:val="clear" w:color="auto" w:fill="969696"/>
            <w:noWrap w:val="0"/>
            <w:vAlign w:val="center"/>
          </w:tcPr>
          <w:p>
            <w:pPr>
              <w:jc w:val="right"/>
              <w:rPr>
                <w:rFonts w:hint="default" w:ascii="Arial" w:hAnsi="Arial" w:cs="Arial"/>
                <w:b/>
                <w:bCs/>
                <w:kern w:val="0"/>
                <w:szCs w:val="21"/>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cs="宋体"/>
                <w:kern w:val="0"/>
                <w:szCs w:val="21"/>
              </w:rPr>
            </w:pPr>
            <w:r>
              <w:rPr>
                <w:rFonts w:ascii="宋体" w:cs="宋体"/>
                <w:kern w:val="0"/>
                <w:szCs w:val="21"/>
              </w:rPr>
              <w:t>30</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其他一级资本工具及其溢价</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31</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315"/>
              <w:rPr>
                <w:rFonts w:ascii="宋体" w:cs="宋体"/>
                <w:kern w:val="0"/>
                <w:szCs w:val="21"/>
                <w:shd w:val="clear" w:color="auto" w:fill="FFFF00"/>
              </w:rPr>
            </w:pPr>
            <w:r>
              <w:rPr>
                <w:rFonts w:hint="eastAsia" w:ascii="宋体" w:hAnsi="宋体" w:cs="宋体"/>
                <w:kern w:val="0"/>
                <w:szCs w:val="21"/>
              </w:rPr>
              <w:t>其中：权益部分</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32</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315"/>
              <w:rPr>
                <w:rFonts w:ascii="宋体" w:cs="宋体"/>
                <w:kern w:val="0"/>
                <w:szCs w:val="21"/>
                <w:shd w:val="clear" w:color="auto" w:fill="FFFF00"/>
              </w:rPr>
            </w:pPr>
            <w:r>
              <w:rPr>
                <w:rFonts w:hint="eastAsia" w:ascii="宋体" w:hAnsi="宋体" w:cs="宋体"/>
                <w:kern w:val="0"/>
                <w:szCs w:val="21"/>
              </w:rPr>
              <w:t>其中：负债部分</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33</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过渡期后不可计入其他一级资本的工具</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34</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少数股东资本可计入部分</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3737</w:t>
            </w: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35</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315"/>
              <w:rPr>
                <w:rFonts w:ascii="宋体" w:hAnsi="宋体" w:cs="宋体"/>
                <w:kern w:val="0"/>
                <w:szCs w:val="21"/>
              </w:rPr>
            </w:pPr>
            <w:r>
              <w:rPr>
                <w:rFonts w:hint="eastAsia" w:ascii="宋体" w:hAnsi="宋体" w:cs="宋体"/>
                <w:kern w:val="0"/>
                <w:szCs w:val="21"/>
              </w:rPr>
              <w:t>其中：过渡期后不可计入其他一级资本的部分</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cs="宋体"/>
                <w:b/>
                <w:bCs/>
                <w:kern w:val="0"/>
                <w:szCs w:val="21"/>
              </w:rPr>
            </w:pPr>
            <w:r>
              <w:rPr>
                <w:rFonts w:ascii="宋体" w:cs="宋体"/>
                <w:b/>
                <w:bCs/>
                <w:kern w:val="0"/>
                <w:szCs w:val="21"/>
              </w:rPr>
              <w:t>36</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监管调整前的其他一级资本</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3737</w:t>
            </w:r>
          </w:p>
        </w:tc>
      </w:tr>
      <w:tr>
        <w:tblPrEx>
          <w:tblLayout w:type="fixed"/>
          <w:tblCellMar>
            <w:top w:w="0" w:type="dxa"/>
            <w:left w:w="108" w:type="dxa"/>
            <w:bottom w:w="0" w:type="dxa"/>
            <w:right w:w="108" w:type="dxa"/>
          </w:tblCellMar>
        </w:tblPrEx>
        <w:trPr>
          <w:trHeight w:val="402" w:hRule="atLeast"/>
          <w:jc w:val="center"/>
        </w:trPr>
        <w:tc>
          <w:tcPr>
            <w:tcW w:w="5910" w:type="dxa"/>
            <w:gridSpan w:val="2"/>
            <w:tcBorders>
              <w:top w:val="single" w:color="auto" w:sz="8" w:space="0"/>
              <w:left w:val="single" w:color="auto" w:sz="8" w:space="0"/>
              <w:bottom w:val="nil"/>
              <w:right w:val="single" w:color="auto" w:sz="8" w:space="0"/>
            </w:tcBorders>
            <w:shd w:val="clear" w:color="auto" w:fill="969696"/>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其他一级资本：监管调整</w:t>
            </w:r>
          </w:p>
        </w:tc>
        <w:tc>
          <w:tcPr>
            <w:tcW w:w="2950" w:type="dxa"/>
            <w:tcBorders>
              <w:top w:val="nil"/>
              <w:left w:val="nil"/>
              <w:bottom w:val="nil"/>
              <w:right w:val="single" w:color="auto" w:sz="8" w:space="0"/>
            </w:tcBorders>
            <w:shd w:val="clear" w:color="auto" w:fill="969696"/>
            <w:noWrap w:val="0"/>
            <w:vAlign w:val="center"/>
          </w:tcPr>
          <w:p>
            <w:pPr>
              <w:jc w:val="right"/>
              <w:rPr>
                <w:rFonts w:hint="default" w:ascii="Arial" w:hAnsi="Arial" w:cs="Arial"/>
                <w:b/>
                <w:bCs/>
                <w:kern w:val="0"/>
                <w:szCs w:val="21"/>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cs="宋体"/>
                <w:kern w:val="0"/>
                <w:szCs w:val="21"/>
              </w:rPr>
            </w:pPr>
            <w:r>
              <w:rPr>
                <w:rFonts w:ascii="宋体" w:cs="宋体"/>
                <w:kern w:val="0"/>
                <w:szCs w:val="21"/>
              </w:rPr>
              <w:t>37</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直接或间接持有的本银行其他一级资本</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38</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银行间或银行与其他金融机构间通过协议相互持有的其他一级资本</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cs="宋体"/>
                <w:kern w:val="0"/>
                <w:szCs w:val="21"/>
              </w:rPr>
            </w:pPr>
            <w:r>
              <w:rPr>
                <w:rFonts w:ascii="宋体" w:cs="宋体"/>
                <w:kern w:val="0"/>
                <w:szCs w:val="21"/>
              </w:rPr>
              <w:t>39</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对未并表金融机构小额少数资本投资中的其他一级资本应扣除部分</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40</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对未并表金融机构大额少数资本投资中的其他一级资本</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cs="宋体"/>
                <w:kern w:val="0"/>
                <w:szCs w:val="21"/>
              </w:rPr>
            </w:pPr>
            <w:bookmarkStart w:id="3" w:name="OLE_LINK6"/>
            <w:bookmarkEnd w:id="3"/>
            <w:r>
              <w:rPr>
                <w:rFonts w:ascii="宋体" w:cs="宋体"/>
                <w:kern w:val="0"/>
                <w:szCs w:val="21"/>
              </w:rPr>
              <w:t>41a</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对有控制权但不并表的金融机构的其他一级资本投资</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41b</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对有控制权但不并表的金融机构的其他一级资本缺口</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41c</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其他应在其他一级资本中扣除的项目</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42</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应从二级资本中扣除的未扣缺口</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cs="宋体"/>
                <w:b/>
                <w:bCs/>
                <w:kern w:val="0"/>
                <w:szCs w:val="21"/>
              </w:rPr>
            </w:pPr>
            <w:r>
              <w:rPr>
                <w:rFonts w:ascii="宋体" w:cs="宋体"/>
                <w:b/>
                <w:bCs/>
                <w:kern w:val="0"/>
                <w:szCs w:val="21"/>
              </w:rPr>
              <w:t>43</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其他一级资本监管调整总和</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b/>
                <w:bCs/>
                <w:kern w:val="0"/>
                <w:szCs w:val="21"/>
              </w:rPr>
            </w:pPr>
            <w:r>
              <w:rPr>
                <w:rFonts w:ascii="宋体" w:hAnsi="宋体" w:cs="宋体"/>
                <w:b/>
                <w:bCs/>
                <w:kern w:val="0"/>
                <w:szCs w:val="21"/>
              </w:rPr>
              <w:t>44</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其他一级资本</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3737</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b/>
                <w:bCs/>
                <w:kern w:val="0"/>
                <w:szCs w:val="21"/>
              </w:rPr>
            </w:pPr>
            <w:r>
              <w:rPr>
                <w:rFonts w:ascii="宋体" w:hAnsi="宋体" w:cs="宋体"/>
                <w:b/>
                <w:bCs/>
                <w:kern w:val="0"/>
                <w:szCs w:val="21"/>
              </w:rPr>
              <w:t>45</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一级资本（核心一级资本</w:t>
            </w:r>
            <w:r>
              <w:rPr>
                <w:rFonts w:ascii="宋体" w:hAnsi="宋体" w:cs="宋体"/>
                <w:b/>
                <w:bCs/>
                <w:kern w:val="0"/>
                <w:szCs w:val="21"/>
              </w:rPr>
              <w:t>+</w:t>
            </w:r>
            <w:r>
              <w:rPr>
                <w:rFonts w:hint="eastAsia" w:ascii="宋体" w:hAnsi="宋体" w:cs="宋体"/>
                <w:b/>
                <w:bCs/>
                <w:kern w:val="0"/>
                <w:szCs w:val="21"/>
              </w:rPr>
              <w:t>其他一级资本）</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14,784,311</w:t>
            </w:r>
          </w:p>
        </w:tc>
      </w:tr>
      <w:tr>
        <w:tblPrEx>
          <w:tblLayout w:type="fixed"/>
          <w:tblCellMar>
            <w:top w:w="0" w:type="dxa"/>
            <w:left w:w="108" w:type="dxa"/>
            <w:bottom w:w="0" w:type="dxa"/>
            <w:right w:w="108" w:type="dxa"/>
          </w:tblCellMar>
        </w:tblPrEx>
        <w:trPr>
          <w:trHeight w:val="402" w:hRule="atLeast"/>
          <w:jc w:val="center"/>
        </w:trPr>
        <w:tc>
          <w:tcPr>
            <w:tcW w:w="5910" w:type="dxa"/>
            <w:gridSpan w:val="2"/>
            <w:tcBorders>
              <w:top w:val="single" w:color="auto" w:sz="8" w:space="0"/>
              <w:left w:val="single" w:color="auto" w:sz="8" w:space="0"/>
              <w:bottom w:val="nil"/>
              <w:right w:val="single" w:color="auto" w:sz="8" w:space="0"/>
            </w:tcBorders>
            <w:shd w:val="clear" w:color="auto" w:fill="969696"/>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二级资本：</w:t>
            </w:r>
            <w:r>
              <w:rPr>
                <w:rFonts w:ascii="宋体" w:hAnsi="宋体" w:cs="宋体"/>
                <w:b/>
                <w:bCs/>
                <w:kern w:val="0"/>
                <w:szCs w:val="21"/>
              </w:rPr>
              <w:t xml:space="preserve"> </w:t>
            </w:r>
          </w:p>
        </w:tc>
        <w:tc>
          <w:tcPr>
            <w:tcW w:w="2950" w:type="dxa"/>
            <w:tcBorders>
              <w:top w:val="nil"/>
              <w:left w:val="nil"/>
              <w:bottom w:val="nil"/>
              <w:right w:val="single" w:color="auto" w:sz="8" w:space="0"/>
            </w:tcBorders>
            <w:shd w:val="clear" w:color="auto" w:fill="969696"/>
            <w:noWrap w:val="0"/>
            <w:vAlign w:val="center"/>
          </w:tcPr>
          <w:p>
            <w:pPr>
              <w:jc w:val="right"/>
              <w:rPr>
                <w:rFonts w:hint="default" w:ascii="Arial" w:hAnsi="Arial" w:cs="Arial"/>
                <w:b/>
                <w:bCs/>
                <w:kern w:val="0"/>
                <w:szCs w:val="21"/>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cs="宋体"/>
                <w:kern w:val="0"/>
                <w:szCs w:val="21"/>
              </w:rPr>
            </w:pPr>
            <w:r>
              <w:rPr>
                <w:rFonts w:ascii="宋体" w:cs="宋体"/>
                <w:kern w:val="0"/>
                <w:szCs w:val="21"/>
              </w:rPr>
              <w:t>46</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二级资本工具及其溢价</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787,085</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47</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过渡期后不可计入二级资本的部分</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48</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少数股东资本可计入部分</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7,475</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49</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420"/>
              <w:rPr>
                <w:rFonts w:ascii="宋体" w:hAnsi="宋体" w:cs="宋体"/>
                <w:kern w:val="0"/>
                <w:szCs w:val="21"/>
              </w:rPr>
            </w:pPr>
            <w:r>
              <w:rPr>
                <w:rFonts w:hint="eastAsia" w:ascii="宋体" w:hAnsi="宋体" w:cs="宋体"/>
                <w:kern w:val="0"/>
                <w:szCs w:val="21"/>
              </w:rPr>
              <w:t>其中：过渡期结束后不可计入的部分</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50</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超额贷款损失准备可计入部分</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1,611,397</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cs="宋体"/>
                <w:b/>
                <w:bCs/>
                <w:kern w:val="0"/>
                <w:szCs w:val="21"/>
              </w:rPr>
            </w:pPr>
            <w:r>
              <w:rPr>
                <w:rFonts w:ascii="宋体" w:cs="宋体"/>
                <w:b/>
                <w:bCs/>
                <w:kern w:val="0"/>
                <w:szCs w:val="21"/>
              </w:rPr>
              <w:t>51</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监管调整前的二级资本</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2,405,957</w:t>
            </w:r>
          </w:p>
        </w:tc>
      </w:tr>
      <w:tr>
        <w:tblPrEx>
          <w:tblLayout w:type="fixed"/>
          <w:tblCellMar>
            <w:top w:w="0" w:type="dxa"/>
            <w:left w:w="108" w:type="dxa"/>
            <w:bottom w:w="0" w:type="dxa"/>
            <w:right w:w="108" w:type="dxa"/>
          </w:tblCellMar>
        </w:tblPrEx>
        <w:trPr>
          <w:trHeight w:val="402" w:hRule="atLeast"/>
          <w:jc w:val="center"/>
        </w:trPr>
        <w:tc>
          <w:tcPr>
            <w:tcW w:w="5910" w:type="dxa"/>
            <w:gridSpan w:val="2"/>
            <w:tcBorders>
              <w:top w:val="single" w:color="auto" w:sz="8" w:space="0"/>
              <w:left w:val="single" w:color="auto" w:sz="8" w:space="0"/>
              <w:bottom w:val="nil"/>
              <w:right w:val="single" w:color="auto" w:sz="8" w:space="0"/>
            </w:tcBorders>
            <w:shd w:val="clear" w:color="auto" w:fill="969696"/>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二级资本：监管调整</w:t>
            </w:r>
          </w:p>
        </w:tc>
        <w:tc>
          <w:tcPr>
            <w:tcW w:w="2950" w:type="dxa"/>
            <w:tcBorders>
              <w:top w:val="nil"/>
              <w:left w:val="nil"/>
              <w:bottom w:val="nil"/>
              <w:right w:val="single" w:color="auto" w:sz="8" w:space="0"/>
            </w:tcBorders>
            <w:shd w:val="clear" w:color="auto" w:fill="969696"/>
            <w:noWrap w:val="0"/>
            <w:vAlign w:val="center"/>
          </w:tcPr>
          <w:p>
            <w:pPr>
              <w:jc w:val="right"/>
              <w:rPr>
                <w:rFonts w:hint="default" w:ascii="Arial" w:hAnsi="Arial" w:cs="Arial"/>
                <w:kern w:val="0"/>
                <w:szCs w:val="21"/>
              </w:rPr>
            </w:pPr>
          </w:p>
        </w:tc>
      </w:tr>
      <w:tr>
        <w:tblPrEx>
          <w:tblLayout w:type="fixed"/>
          <w:tblCellMar>
            <w:top w:w="0" w:type="dxa"/>
            <w:left w:w="108" w:type="dxa"/>
            <w:bottom w:w="0" w:type="dxa"/>
            <w:right w:w="108" w:type="dxa"/>
          </w:tblCellMar>
        </w:tblPrEx>
        <w:trPr>
          <w:trHeight w:val="90"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52</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直接或间接持有的本银行的二级资本</w:t>
            </w:r>
          </w:p>
        </w:tc>
        <w:tc>
          <w:tcPr>
            <w:tcW w:w="2950" w:type="dxa"/>
            <w:tcBorders>
              <w:top w:val="nil"/>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53</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银行间或银行与其他金融机构间通过协议相互持有的二级资本</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54</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对未并表金融机构小额少数资本投资中的二级资本应扣除部分</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55</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对未并表金融机构大额少数资本投资中的二级资本</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56a</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对有控制权但不并表的金融机构的二级资本投资</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56b</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有控制权但不并表的金融机构的二级资本缺口</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56c</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其他应在二级资本中扣除的项目</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cs="宋体"/>
                <w:b/>
                <w:bCs/>
                <w:kern w:val="0"/>
                <w:szCs w:val="21"/>
              </w:rPr>
            </w:pPr>
            <w:r>
              <w:rPr>
                <w:rFonts w:ascii="宋体" w:cs="宋体"/>
                <w:b/>
                <w:bCs/>
                <w:kern w:val="0"/>
                <w:szCs w:val="21"/>
              </w:rPr>
              <w:t>57</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二级资本监管调整总和</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b/>
                <w:bCs/>
                <w:kern w:val="0"/>
                <w:szCs w:val="21"/>
              </w:rPr>
            </w:pPr>
            <w:r>
              <w:rPr>
                <w:rFonts w:ascii="宋体" w:hAnsi="宋体" w:cs="宋体"/>
                <w:b/>
                <w:bCs/>
                <w:kern w:val="0"/>
                <w:szCs w:val="21"/>
              </w:rPr>
              <w:t>58</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二级资本</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2,405,957</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b/>
                <w:bCs/>
                <w:kern w:val="0"/>
                <w:szCs w:val="21"/>
              </w:rPr>
            </w:pPr>
            <w:r>
              <w:rPr>
                <w:rFonts w:ascii="宋体" w:hAnsi="宋体" w:cs="宋体"/>
                <w:b/>
                <w:bCs/>
                <w:kern w:val="0"/>
                <w:szCs w:val="21"/>
              </w:rPr>
              <w:t>59</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总资本（一级资本</w:t>
            </w:r>
            <w:r>
              <w:rPr>
                <w:rFonts w:ascii="宋体" w:hAnsi="宋体" w:cs="宋体"/>
                <w:b/>
                <w:bCs/>
                <w:kern w:val="0"/>
                <w:szCs w:val="21"/>
              </w:rPr>
              <w:t>+</w:t>
            </w:r>
            <w:r>
              <w:rPr>
                <w:rFonts w:hint="eastAsia" w:ascii="宋体" w:hAnsi="宋体" w:cs="宋体"/>
                <w:b/>
                <w:bCs/>
                <w:kern w:val="0"/>
                <w:szCs w:val="21"/>
              </w:rPr>
              <w:t>二级资本）</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17,190,268</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b/>
                <w:bCs/>
                <w:kern w:val="0"/>
                <w:szCs w:val="21"/>
              </w:rPr>
            </w:pPr>
            <w:r>
              <w:rPr>
                <w:rFonts w:ascii="宋体" w:hAnsi="宋体" w:cs="宋体"/>
                <w:b/>
                <w:bCs/>
                <w:kern w:val="0"/>
                <w:szCs w:val="21"/>
              </w:rPr>
              <w:t>60</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总风险加权资产</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143,519,501</w:t>
            </w:r>
          </w:p>
        </w:tc>
      </w:tr>
      <w:tr>
        <w:tblPrEx>
          <w:tblLayout w:type="fixed"/>
          <w:tblCellMar>
            <w:top w:w="0" w:type="dxa"/>
            <w:left w:w="108" w:type="dxa"/>
            <w:bottom w:w="0" w:type="dxa"/>
            <w:right w:w="108" w:type="dxa"/>
          </w:tblCellMar>
        </w:tblPrEx>
        <w:trPr>
          <w:trHeight w:val="402" w:hRule="atLeast"/>
          <w:jc w:val="center"/>
        </w:trPr>
        <w:tc>
          <w:tcPr>
            <w:tcW w:w="5910" w:type="dxa"/>
            <w:gridSpan w:val="2"/>
            <w:tcBorders>
              <w:top w:val="single" w:color="auto" w:sz="8" w:space="0"/>
              <w:left w:val="single" w:color="auto" w:sz="8" w:space="0"/>
              <w:bottom w:val="nil"/>
              <w:right w:val="single" w:color="auto" w:sz="8" w:space="0"/>
            </w:tcBorders>
            <w:shd w:val="clear" w:color="auto" w:fill="969696"/>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资本充足率和储备资本要求</w:t>
            </w:r>
          </w:p>
        </w:tc>
        <w:tc>
          <w:tcPr>
            <w:tcW w:w="2950" w:type="dxa"/>
            <w:tcBorders>
              <w:top w:val="nil"/>
              <w:left w:val="nil"/>
              <w:bottom w:val="nil"/>
              <w:right w:val="single" w:color="auto" w:sz="8" w:space="0"/>
            </w:tcBorders>
            <w:shd w:val="clear" w:color="auto" w:fill="969696"/>
            <w:noWrap w:val="0"/>
            <w:vAlign w:val="center"/>
          </w:tcPr>
          <w:p>
            <w:pPr>
              <w:jc w:val="right"/>
              <w:rPr>
                <w:rFonts w:hint="default" w:ascii="Arial" w:hAnsi="Arial" w:cs="Arial"/>
                <w:kern w:val="0"/>
                <w:szCs w:val="21"/>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61</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核心一级资本充足率</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10.3</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62</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一级资本充足率</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10.3</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63</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资本充足率</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11.98</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64</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机构特定的资本要求</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65</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其中：储备资本要求</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66</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其中：逆周期资本要求</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67</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其中：全球系统重要性银行附加资本要求</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68</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满足缓冲区的核心一级资本占风险加权资产的比例</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910" w:type="dxa"/>
            <w:gridSpan w:val="2"/>
            <w:tcBorders>
              <w:top w:val="single" w:color="auto" w:sz="8" w:space="0"/>
              <w:left w:val="single" w:color="auto" w:sz="8" w:space="0"/>
              <w:bottom w:val="nil"/>
              <w:right w:val="single" w:color="auto" w:sz="8" w:space="0"/>
            </w:tcBorders>
            <w:shd w:val="clear" w:color="auto" w:fill="969696"/>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国内最低监管资本要求</w:t>
            </w:r>
          </w:p>
        </w:tc>
        <w:tc>
          <w:tcPr>
            <w:tcW w:w="2950" w:type="dxa"/>
            <w:tcBorders>
              <w:top w:val="nil"/>
              <w:left w:val="nil"/>
              <w:bottom w:val="nil"/>
              <w:right w:val="single" w:color="auto" w:sz="8" w:space="0"/>
            </w:tcBorders>
            <w:shd w:val="clear" w:color="auto" w:fill="969696"/>
            <w:noWrap w:val="0"/>
            <w:vAlign w:val="center"/>
          </w:tcPr>
          <w:p>
            <w:pPr>
              <w:jc w:val="right"/>
              <w:rPr>
                <w:rFonts w:hint="default" w:ascii="Arial" w:hAnsi="Arial" w:cs="Arial"/>
                <w:kern w:val="0"/>
                <w:szCs w:val="21"/>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69</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核心一级资本充足率</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5</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70</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一级资本充足率</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6</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71</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资本充足率</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8</w:t>
            </w:r>
          </w:p>
        </w:tc>
      </w:tr>
      <w:tr>
        <w:tblPrEx>
          <w:tblLayout w:type="fixed"/>
          <w:tblCellMar>
            <w:top w:w="0" w:type="dxa"/>
            <w:left w:w="108" w:type="dxa"/>
            <w:bottom w:w="0" w:type="dxa"/>
            <w:right w:w="108" w:type="dxa"/>
          </w:tblCellMar>
        </w:tblPrEx>
        <w:trPr>
          <w:trHeight w:val="402" w:hRule="atLeast"/>
          <w:jc w:val="center"/>
        </w:trPr>
        <w:tc>
          <w:tcPr>
            <w:tcW w:w="5910" w:type="dxa"/>
            <w:gridSpan w:val="2"/>
            <w:tcBorders>
              <w:top w:val="single" w:color="auto" w:sz="8" w:space="0"/>
              <w:left w:val="single" w:color="auto" w:sz="8" w:space="0"/>
              <w:bottom w:val="nil"/>
              <w:right w:val="single" w:color="auto" w:sz="8" w:space="0"/>
            </w:tcBorders>
            <w:shd w:val="clear" w:color="auto" w:fill="969696"/>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门槛扣除项中未扣除部分</w:t>
            </w:r>
          </w:p>
        </w:tc>
        <w:tc>
          <w:tcPr>
            <w:tcW w:w="2950" w:type="dxa"/>
            <w:tcBorders>
              <w:top w:val="nil"/>
              <w:left w:val="nil"/>
              <w:bottom w:val="nil"/>
              <w:right w:val="single" w:color="auto" w:sz="8" w:space="0"/>
            </w:tcBorders>
            <w:shd w:val="clear" w:color="auto" w:fill="969696"/>
            <w:noWrap w:val="0"/>
            <w:vAlign w:val="center"/>
          </w:tcPr>
          <w:p>
            <w:pPr>
              <w:jc w:val="right"/>
              <w:rPr>
                <w:rFonts w:hint="default" w:ascii="Arial" w:hAnsi="Arial" w:cs="Arial"/>
                <w:kern w:val="0"/>
                <w:szCs w:val="21"/>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72</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对未并表金融机构的小额少数资本投资未扣除部分</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225,600</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73</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对未并表金融机构的大额少数资本投资未扣除部分</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1,531,314</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74</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抵押贷款服务权（扣除递延税负债）</w:t>
            </w:r>
          </w:p>
        </w:tc>
        <w:tc>
          <w:tcPr>
            <w:tcW w:w="2950" w:type="dxa"/>
            <w:tcBorders>
              <w:top w:val="single" w:color="auto" w:sz="8" w:space="0"/>
              <w:left w:val="nil"/>
              <w:bottom w:val="single" w:color="auto" w:sz="8" w:space="0"/>
              <w:right w:val="single" w:color="auto" w:sz="8" w:space="0"/>
            </w:tcBorders>
            <w:noWrap w:val="0"/>
            <w:vAlign w:val="center"/>
          </w:tcPr>
          <w:p>
            <w:pPr>
              <w:jc w:val="right"/>
              <w:rPr>
                <w:rFonts w:hint="default" w:ascii="Arial" w:hAnsi="Arial" w:cs="Arial"/>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75</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其他依赖于银行未来盈利的净递延税资产（扣除递延税负债）</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1,126,453</w:t>
            </w:r>
          </w:p>
        </w:tc>
      </w:tr>
      <w:tr>
        <w:tblPrEx>
          <w:tblLayout w:type="fixed"/>
          <w:tblCellMar>
            <w:top w:w="0" w:type="dxa"/>
            <w:left w:w="108" w:type="dxa"/>
            <w:bottom w:w="0" w:type="dxa"/>
            <w:right w:w="108" w:type="dxa"/>
          </w:tblCellMar>
        </w:tblPrEx>
        <w:trPr>
          <w:trHeight w:val="402" w:hRule="atLeast"/>
          <w:jc w:val="center"/>
        </w:trPr>
        <w:tc>
          <w:tcPr>
            <w:tcW w:w="5910" w:type="dxa"/>
            <w:gridSpan w:val="2"/>
            <w:tcBorders>
              <w:top w:val="single" w:color="auto" w:sz="8" w:space="0"/>
              <w:left w:val="single" w:color="auto" w:sz="8" w:space="0"/>
              <w:bottom w:val="nil"/>
              <w:right w:val="single" w:color="auto" w:sz="8" w:space="0"/>
            </w:tcBorders>
            <w:shd w:val="clear" w:color="auto" w:fill="969696"/>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可计入二级资本的超额贷款损失准备的限额</w:t>
            </w:r>
          </w:p>
        </w:tc>
        <w:tc>
          <w:tcPr>
            <w:tcW w:w="2950" w:type="dxa"/>
            <w:tcBorders>
              <w:top w:val="nil"/>
              <w:left w:val="nil"/>
              <w:bottom w:val="nil"/>
              <w:right w:val="single" w:color="auto" w:sz="8" w:space="0"/>
            </w:tcBorders>
            <w:shd w:val="clear" w:color="auto" w:fill="969696"/>
            <w:noWrap w:val="0"/>
            <w:vAlign w:val="center"/>
          </w:tcPr>
          <w:p>
            <w:pPr>
              <w:jc w:val="right"/>
              <w:rPr>
                <w:rFonts w:hint="default" w:ascii="Arial" w:hAnsi="Arial" w:cs="Arial"/>
                <w:kern w:val="0"/>
                <w:szCs w:val="21"/>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76</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权重法下，实际计提的贷款损失准备金额</w:t>
            </w:r>
          </w:p>
        </w:tc>
        <w:tc>
          <w:tcPr>
            <w:tcW w:w="2950"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4,499,052</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77</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权重法下，可计入二级资本超额贷款损失准备的数额</w:t>
            </w:r>
          </w:p>
        </w:tc>
        <w:tc>
          <w:tcPr>
            <w:tcW w:w="2950"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1,611,397</w:t>
            </w: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78</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内部评级法下，实际计提的超额贷款损失准备金额</w:t>
            </w:r>
          </w:p>
        </w:tc>
        <w:tc>
          <w:tcPr>
            <w:tcW w:w="2950" w:type="dxa"/>
            <w:tcBorders>
              <w:top w:val="single" w:color="auto" w:sz="8" w:space="0"/>
              <w:left w:val="nil"/>
              <w:bottom w:val="single" w:color="auto" w:sz="8" w:space="0"/>
              <w:right w:val="single" w:color="auto" w:sz="8" w:space="0"/>
            </w:tcBorders>
            <w:noWrap w:val="0"/>
            <w:vAlign w:val="center"/>
          </w:tcPr>
          <w:p>
            <w:pPr>
              <w:jc w:val="both"/>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79</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内部评级法下，可计入二级资本超额贷款损失准备的数额</w:t>
            </w:r>
          </w:p>
        </w:tc>
        <w:tc>
          <w:tcPr>
            <w:tcW w:w="2950" w:type="dxa"/>
            <w:tcBorders>
              <w:top w:val="single" w:color="auto" w:sz="8" w:space="0"/>
              <w:left w:val="nil"/>
              <w:bottom w:val="single" w:color="auto" w:sz="8" w:space="0"/>
              <w:right w:val="single" w:color="auto" w:sz="8" w:space="0"/>
            </w:tcBorders>
            <w:noWrap w:val="0"/>
            <w:vAlign w:val="center"/>
          </w:tcPr>
          <w:p>
            <w:pPr>
              <w:jc w:val="both"/>
            </w:pPr>
          </w:p>
        </w:tc>
      </w:tr>
      <w:tr>
        <w:tblPrEx>
          <w:tblLayout w:type="fixed"/>
          <w:tblCellMar>
            <w:top w:w="0" w:type="dxa"/>
            <w:left w:w="108" w:type="dxa"/>
            <w:bottom w:w="0" w:type="dxa"/>
            <w:right w:w="108" w:type="dxa"/>
          </w:tblCellMar>
        </w:tblPrEx>
        <w:trPr>
          <w:trHeight w:val="402" w:hRule="atLeast"/>
          <w:jc w:val="center"/>
        </w:trPr>
        <w:tc>
          <w:tcPr>
            <w:tcW w:w="5910" w:type="dxa"/>
            <w:gridSpan w:val="2"/>
            <w:tcBorders>
              <w:top w:val="single" w:color="auto" w:sz="8" w:space="0"/>
              <w:left w:val="single" w:color="auto" w:sz="8" w:space="0"/>
              <w:bottom w:val="nil"/>
              <w:right w:val="single" w:color="auto" w:sz="8" w:space="0"/>
            </w:tcBorders>
            <w:shd w:val="clear" w:color="auto" w:fill="969696"/>
            <w:noWrap w:val="0"/>
            <w:vAlign w:val="top"/>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b/>
                <w:bCs/>
                <w:kern w:val="0"/>
                <w:szCs w:val="21"/>
              </w:rPr>
            </w:pPr>
            <w:r>
              <w:rPr>
                <w:rFonts w:hint="eastAsia" w:ascii="宋体" w:hAnsi="宋体" w:cs="宋体"/>
                <w:b/>
                <w:bCs/>
                <w:kern w:val="0"/>
                <w:szCs w:val="21"/>
              </w:rPr>
              <w:t>符合退出安排的资本工具</w:t>
            </w:r>
          </w:p>
        </w:tc>
        <w:tc>
          <w:tcPr>
            <w:tcW w:w="2950" w:type="dxa"/>
            <w:tcBorders>
              <w:top w:val="nil"/>
              <w:left w:val="nil"/>
              <w:bottom w:val="nil"/>
              <w:right w:val="single" w:color="auto" w:sz="8" w:space="0"/>
            </w:tcBorders>
            <w:shd w:val="clear" w:color="auto" w:fill="969696"/>
            <w:noWrap w:val="0"/>
            <w:vAlign w:val="center"/>
          </w:tcPr>
          <w:p>
            <w:pPr>
              <w:jc w:val="both"/>
              <w:rPr>
                <w:rFonts w:ascii="宋体" w:hAnsi="宋体" w:cs="宋体"/>
                <w:kern w:val="0"/>
                <w:szCs w:val="21"/>
              </w:rPr>
            </w:pPr>
          </w:p>
        </w:tc>
      </w:tr>
      <w:tr>
        <w:tblPrEx>
          <w:tblLayout w:type="fixed"/>
          <w:tblCellMar>
            <w:top w:w="0" w:type="dxa"/>
            <w:left w:w="108" w:type="dxa"/>
            <w:bottom w:w="0" w:type="dxa"/>
            <w:right w:w="108" w:type="dxa"/>
          </w:tblCellMar>
        </w:tblPrEx>
        <w:trPr>
          <w:trHeight w:val="402" w:hRule="atLeast"/>
          <w:jc w:val="center"/>
        </w:trPr>
        <w:tc>
          <w:tcPr>
            <w:tcW w:w="531" w:type="dxa"/>
            <w:tcBorders>
              <w:top w:val="nil"/>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80</w:t>
            </w:r>
          </w:p>
        </w:tc>
        <w:tc>
          <w:tcPr>
            <w:tcW w:w="5379" w:type="dxa"/>
            <w:tcBorders>
              <w:top w:val="nil"/>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因过渡期安排造成的当期可计入核心一级资本的数额</w:t>
            </w:r>
          </w:p>
        </w:tc>
        <w:tc>
          <w:tcPr>
            <w:tcW w:w="2950" w:type="dxa"/>
            <w:tcBorders>
              <w:top w:val="nil"/>
              <w:left w:val="nil"/>
              <w:bottom w:val="single" w:color="auto" w:sz="8" w:space="0"/>
              <w:right w:val="single" w:color="auto" w:sz="8" w:space="0"/>
            </w:tcBorders>
            <w:noWrap w:val="0"/>
            <w:vAlign w:val="center"/>
          </w:tcPr>
          <w:p>
            <w:pPr>
              <w:jc w:val="both"/>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81</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因过渡期安排造成的不可计入核心一级资本的数额</w:t>
            </w:r>
          </w:p>
        </w:tc>
        <w:tc>
          <w:tcPr>
            <w:tcW w:w="2950" w:type="dxa"/>
            <w:tcBorders>
              <w:top w:val="single" w:color="auto" w:sz="8" w:space="0"/>
              <w:left w:val="nil"/>
              <w:bottom w:val="single" w:color="auto" w:sz="8" w:space="0"/>
              <w:right w:val="single" w:color="auto" w:sz="8" w:space="0"/>
            </w:tcBorders>
            <w:noWrap w:val="0"/>
            <w:vAlign w:val="center"/>
          </w:tcPr>
          <w:p>
            <w:pPr>
              <w:jc w:val="both"/>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82</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因过渡期安排造成的当期可计入其他一级资本的数额</w:t>
            </w:r>
          </w:p>
        </w:tc>
        <w:tc>
          <w:tcPr>
            <w:tcW w:w="2950" w:type="dxa"/>
            <w:tcBorders>
              <w:top w:val="single" w:color="auto" w:sz="8" w:space="0"/>
              <w:left w:val="nil"/>
              <w:bottom w:val="single" w:color="auto" w:sz="8" w:space="0"/>
              <w:right w:val="single" w:color="auto" w:sz="8" w:space="0"/>
            </w:tcBorders>
            <w:noWrap w:val="0"/>
            <w:vAlign w:val="center"/>
          </w:tcPr>
          <w:p>
            <w:pPr>
              <w:jc w:val="both"/>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83</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因过渡期安排造成的不可计入其他一级资本的数额</w:t>
            </w:r>
          </w:p>
        </w:tc>
        <w:tc>
          <w:tcPr>
            <w:tcW w:w="2950" w:type="dxa"/>
            <w:tcBorders>
              <w:top w:val="single" w:color="auto" w:sz="8" w:space="0"/>
              <w:left w:val="nil"/>
              <w:bottom w:val="single" w:color="auto" w:sz="8" w:space="0"/>
              <w:right w:val="single" w:color="auto" w:sz="8" w:space="0"/>
            </w:tcBorders>
            <w:noWrap w:val="0"/>
            <w:vAlign w:val="center"/>
          </w:tcPr>
          <w:p>
            <w:pPr>
              <w:jc w:val="both"/>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84</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因过渡期安排造成的当期可计入二级资本的数额</w:t>
            </w:r>
          </w:p>
        </w:tc>
        <w:tc>
          <w:tcPr>
            <w:tcW w:w="2950" w:type="dxa"/>
            <w:tcBorders>
              <w:top w:val="single" w:color="auto" w:sz="8" w:space="0"/>
              <w:left w:val="nil"/>
              <w:bottom w:val="single" w:color="auto" w:sz="8" w:space="0"/>
              <w:right w:val="single" w:color="auto" w:sz="8" w:space="0"/>
            </w:tcBorders>
            <w:noWrap w:val="0"/>
            <w:vAlign w:val="center"/>
          </w:tcPr>
          <w:p>
            <w:pPr>
              <w:jc w:val="both"/>
            </w:pPr>
          </w:p>
        </w:tc>
      </w:tr>
      <w:tr>
        <w:tblPrEx>
          <w:tblLayout w:type="fixed"/>
          <w:tblCellMar>
            <w:top w:w="0" w:type="dxa"/>
            <w:left w:w="108" w:type="dxa"/>
            <w:bottom w:w="0" w:type="dxa"/>
            <w:right w:w="108" w:type="dxa"/>
          </w:tblCellMar>
        </w:tblPrEx>
        <w:trPr>
          <w:trHeight w:val="402" w:hRule="atLeast"/>
          <w:jc w:val="center"/>
        </w:trPr>
        <w:tc>
          <w:tcPr>
            <w:tcW w:w="531"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宋体" w:cs="宋体"/>
                <w:kern w:val="0"/>
                <w:szCs w:val="21"/>
              </w:rPr>
            </w:pPr>
            <w:r>
              <w:rPr>
                <w:rFonts w:ascii="宋体" w:hAnsi="宋体" w:cs="宋体"/>
                <w:kern w:val="0"/>
                <w:szCs w:val="21"/>
              </w:rPr>
              <w:t>85</w:t>
            </w:r>
          </w:p>
        </w:tc>
        <w:tc>
          <w:tcPr>
            <w:tcW w:w="5379" w:type="dxa"/>
            <w:tcBorders>
              <w:top w:val="single" w:color="auto" w:sz="8" w:space="0"/>
              <w:left w:val="nil"/>
              <w:bottom w:val="single" w:color="auto" w:sz="8" w:space="0"/>
              <w:right w:val="single" w:color="auto" w:sz="8" w:space="0"/>
            </w:tcBorders>
            <w:noWrap w:val="0"/>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cs="宋体"/>
                <w:kern w:val="0"/>
                <w:szCs w:val="21"/>
              </w:rPr>
            </w:pPr>
            <w:r>
              <w:rPr>
                <w:rFonts w:hint="eastAsia" w:ascii="宋体" w:hAnsi="宋体" w:cs="宋体"/>
                <w:kern w:val="0"/>
                <w:szCs w:val="21"/>
              </w:rPr>
              <w:t>因过渡期安排造成的当期不可计入二级资本的数额</w:t>
            </w:r>
          </w:p>
        </w:tc>
        <w:tc>
          <w:tcPr>
            <w:tcW w:w="2950" w:type="dxa"/>
            <w:tcBorders>
              <w:top w:val="single" w:color="auto" w:sz="8" w:space="0"/>
              <w:left w:val="nil"/>
              <w:bottom w:val="single" w:color="auto" w:sz="8" w:space="0"/>
              <w:right w:val="single" w:color="auto" w:sz="8" w:space="0"/>
            </w:tcBorders>
            <w:noWrap w:val="0"/>
            <w:vAlign w:val="center"/>
          </w:tcPr>
          <w:p>
            <w:pPr>
              <w:jc w:val="both"/>
            </w:pPr>
          </w:p>
        </w:tc>
      </w:tr>
    </w:tbl>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30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30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30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30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附表</w:t>
      </w:r>
      <w:r>
        <w:rPr>
          <w:rFonts w:ascii="仿宋_GB2312" w:hAnsi="仿宋_GB2312" w:eastAsia="仿宋_GB2312" w:cs="仿宋_GB2312"/>
          <w:kern w:val="0"/>
          <w:sz w:val="30"/>
          <w:szCs w:val="30"/>
        </w:rPr>
        <w:t>3</w:t>
      </w:r>
      <w:r>
        <w:rPr>
          <w:rFonts w:hint="eastAsia" w:ascii="仿宋_GB2312" w:hAnsi="仿宋_GB2312" w:eastAsia="仿宋_GB2312" w:cs="仿宋_GB2312"/>
          <w:kern w:val="0"/>
          <w:sz w:val="30"/>
          <w:szCs w:val="30"/>
        </w:rPr>
        <w:t>：有关科目展开说明表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420"/>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单位：千元（人民币）</w:t>
      </w:r>
    </w:p>
    <w:tbl>
      <w:tblPr>
        <w:tblStyle w:val="5"/>
        <w:tblW w:w="8720" w:type="dxa"/>
        <w:jc w:val="right"/>
        <w:tblInd w:w="0" w:type="dxa"/>
        <w:tblLayout w:type="fixed"/>
        <w:tblCellMar>
          <w:top w:w="0" w:type="dxa"/>
          <w:left w:w="108" w:type="dxa"/>
          <w:bottom w:w="0" w:type="dxa"/>
          <w:right w:w="108" w:type="dxa"/>
        </w:tblCellMar>
      </w:tblPr>
      <w:tblGrid>
        <w:gridCol w:w="3692"/>
        <w:gridCol w:w="3396"/>
        <w:gridCol w:w="1632"/>
      </w:tblGrid>
      <w:tr>
        <w:tblPrEx>
          <w:tblLayout w:type="fixed"/>
          <w:tblCellMar>
            <w:top w:w="0" w:type="dxa"/>
            <w:left w:w="108" w:type="dxa"/>
            <w:bottom w:w="0" w:type="dxa"/>
            <w:right w:w="108" w:type="dxa"/>
          </w:tblCellMar>
        </w:tblPrEx>
        <w:trPr>
          <w:trHeight w:val="285" w:hRule="atLeast"/>
          <w:jc w:val="right"/>
        </w:trPr>
        <w:tc>
          <w:tcPr>
            <w:tcW w:w="3692" w:type="dxa"/>
            <w:tcBorders>
              <w:top w:val="single" w:color="auto" w:sz="4" w:space="0"/>
              <w:left w:val="single" w:color="auto" w:sz="4" w:space="0"/>
              <w:bottom w:val="single" w:color="auto" w:sz="4" w:space="0"/>
              <w:right w:val="single" w:color="auto" w:sz="4" w:space="0"/>
            </w:tcBorders>
            <w:shd w:val="clear" w:color="auto" w:fill="A6A6A6"/>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r>
              <w:rPr>
                <w:rFonts w:hint="eastAsia" w:ascii="宋体" w:hAnsi="宋体" w:cs="宋体"/>
                <w:kern w:val="0"/>
                <w:szCs w:val="21"/>
              </w:rPr>
              <w:t>　</w:t>
            </w:r>
          </w:p>
        </w:tc>
        <w:tc>
          <w:tcPr>
            <w:tcW w:w="3396" w:type="dxa"/>
            <w:tcBorders>
              <w:top w:val="single" w:color="auto" w:sz="4" w:space="0"/>
              <w:left w:val="single" w:color="auto" w:sz="4" w:space="0"/>
              <w:bottom w:val="single" w:color="auto" w:sz="4" w:space="0"/>
              <w:right w:val="single" w:color="auto" w:sz="4" w:space="0"/>
            </w:tcBorders>
            <w:shd w:val="clear" w:color="auto" w:fill="A6A6A6"/>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r>
              <w:rPr>
                <w:rFonts w:hint="eastAsia" w:ascii="宋体" w:hAnsi="宋体" w:cs="宋体"/>
                <w:kern w:val="0"/>
                <w:szCs w:val="21"/>
              </w:rPr>
              <w:t>监管并表口径下的资产负债表</w:t>
            </w:r>
          </w:p>
        </w:tc>
        <w:tc>
          <w:tcPr>
            <w:tcW w:w="1632" w:type="dxa"/>
            <w:tcBorders>
              <w:top w:val="single" w:color="auto" w:sz="4" w:space="0"/>
              <w:left w:val="single" w:color="auto" w:sz="4" w:space="0"/>
              <w:bottom w:val="single" w:color="auto" w:sz="4" w:space="0"/>
              <w:right w:val="single" w:color="auto" w:sz="4" w:space="0"/>
            </w:tcBorders>
            <w:shd w:val="clear" w:color="auto" w:fill="A6A6A6"/>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r>
              <w:rPr>
                <w:rFonts w:hint="eastAsia" w:ascii="宋体" w:hAnsi="宋体" w:cs="宋体"/>
                <w:kern w:val="0"/>
                <w:szCs w:val="21"/>
              </w:rPr>
              <w:t>代码</w:t>
            </w:r>
          </w:p>
        </w:tc>
      </w:tr>
      <w:tr>
        <w:tblPrEx>
          <w:tblLayout w:type="fixed"/>
          <w:tblCellMar>
            <w:top w:w="0" w:type="dxa"/>
            <w:left w:w="108" w:type="dxa"/>
            <w:bottom w:w="0" w:type="dxa"/>
            <w:right w:w="108" w:type="dxa"/>
          </w:tblCellMar>
        </w:tblPrEx>
        <w:trPr>
          <w:trHeight w:val="285" w:hRule="atLeast"/>
          <w:jc w:val="right"/>
        </w:trPr>
        <w:tc>
          <w:tcPr>
            <w:tcW w:w="369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r>
              <w:rPr>
                <w:rFonts w:hint="eastAsia" w:ascii="宋体" w:hAnsi="宋体" w:cs="宋体"/>
                <w:kern w:val="0"/>
                <w:szCs w:val="21"/>
              </w:rPr>
              <w:t>……</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p>
        </w:tc>
        <w:tc>
          <w:tcPr>
            <w:tcW w:w="163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p>
        </w:tc>
      </w:tr>
      <w:tr>
        <w:tblPrEx>
          <w:tblLayout w:type="fixed"/>
          <w:tblCellMar>
            <w:top w:w="0" w:type="dxa"/>
            <w:left w:w="108" w:type="dxa"/>
            <w:bottom w:w="0" w:type="dxa"/>
            <w:right w:w="108" w:type="dxa"/>
          </w:tblCellMar>
        </w:tblPrEx>
        <w:trPr>
          <w:trHeight w:val="285" w:hRule="atLeast"/>
          <w:jc w:val="right"/>
        </w:trPr>
        <w:tc>
          <w:tcPr>
            <w:tcW w:w="369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r>
              <w:rPr>
                <w:rFonts w:hint="eastAsia" w:ascii="宋体" w:hAnsi="宋体" w:cs="宋体"/>
                <w:kern w:val="0"/>
                <w:szCs w:val="21"/>
              </w:rPr>
              <w:t>商誉</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r>
              <w:rPr>
                <w:rFonts w:hint="eastAsia" w:ascii="宋体" w:hAnsi="宋体" w:cs="宋体"/>
                <w:kern w:val="0"/>
                <w:szCs w:val="21"/>
              </w:rPr>
              <w:t>　</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p>
        </w:tc>
      </w:tr>
      <w:tr>
        <w:tblPrEx>
          <w:tblLayout w:type="fixed"/>
          <w:tblCellMar>
            <w:top w:w="0" w:type="dxa"/>
            <w:left w:w="108" w:type="dxa"/>
            <w:bottom w:w="0" w:type="dxa"/>
            <w:right w:w="108" w:type="dxa"/>
          </w:tblCellMar>
        </w:tblPrEx>
        <w:trPr>
          <w:trHeight w:val="285" w:hRule="atLeast"/>
          <w:jc w:val="right"/>
        </w:trPr>
        <w:tc>
          <w:tcPr>
            <w:tcW w:w="369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kern w:val="0"/>
                <w:szCs w:val="21"/>
              </w:rPr>
            </w:pPr>
            <w:r>
              <w:rPr>
                <w:rFonts w:hint="eastAsia" w:ascii="宋体" w:hAnsi="宋体" w:cs="宋体"/>
                <w:kern w:val="0"/>
                <w:szCs w:val="21"/>
              </w:rPr>
              <w:t>无形资产</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lang w:val="en-US"/>
              </w:rPr>
            </w:pPr>
            <w:r>
              <w:rPr>
                <w:rFonts w:hint="default" w:ascii="Arial" w:hAnsi="Arial" w:eastAsia="宋体" w:cs="Arial"/>
                <w:i w:val="0"/>
                <w:color w:val="000000"/>
                <w:kern w:val="0"/>
                <w:sz w:val="21"/>
                <w:szCs w:val="21"/>
                <w:u w:val="none"/>
                <w:lang w:val="en-US" w:eastAsia="zh-CN" w:bidi="ar"/>
              </w:rPr>
              <w:t>311,647</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r>
              <w:rPr>
                <w:rFonts w:hint="eastAsia"/>
                <w:kern w:val="0"/>
                <w:szCs w:val="21"/>
              </w:rPr>
              <w:t>a</w:t>
            </w:r>
          </w:p>
        </w:tc>
      </w:tr>
      <w:tr>
        <w:tblPrEx>
          <w:tblLayout w:type="fixed"/>
          <w:tblCellMar>
            <w:top w:w="0" w:type="dxa"/>
            <w:left w:w="108" w:type="dxa"/>
            <w:bottom w:w="0" w:type="dxa"/>
            <w:right w:w="108" w:type="dxa"/>
          </w:tblCellMar>
        </w:tblPrEx>
        <w:trPr>
          <w:trHeight w:val="285" w:hRule="atLeast"/>
          <w:jc w:val="right"/>
        </w:trPr>
        <w:tc>
          <w:tcPr>
            <w:tcW w:w="369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宋体" w:hAnsi="宋体" w:cs="宋体"/>
                <w:kern w:val="0"/>
                <w:szCs w:val="21"/>
              </w:rPr>
            </w:pPr>
            <w:r>
              <w:rPr>
                <w:rFonts w:hint="eastAsia" w:ascii="宋体" w:hAnsi="宋体" w:cs="宋体"/>
                <w:kern w:val="0"/>
                <w:szCs w:val="21"/>
              </w:rPr>
              <w:t>其中土地使用权</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109,753</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r>
              <w:rPr>
                <w:rFonts w:hint="eastAsia"/>
                <w:kern w:val="0"/>
                <w:szCs w:val="21"/>
              </w:rPr>
              <w:t>b</w:t>
            </w:r>
          </w:p>
        </w:tc>
      </w:tr>
      <w:tr>
        <w:tblPrEx>
          <w:tblLayout w:type="fixed"/>
          <w:tblCellMar>
            <w:top w:w="0" w:type="dxa"/>
            <w:left w:w="108" w:type="dxa"/>
            <w:bottom w:w="0" w:type="dxa"/>
            <w:right w:w="108" w:type="dxa"/>
          </w:tblCellMar>
        </w:tblPrEx>
        <w:trPr>
          <w:trHeight w:val="285" w:hRule="atLeast"/>
          <w:jc w:val="right"/>
        </w:trPr>
        <w:tc>
          <w:tcPr>
            <w:tcW w:w="369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r>
              <w:rPr>
                <w:rFonts w:hint="eastAsia" w:ascii="宋体" w:hAnsi="宋体" w:cs="宋体"/>
                <w:kern w:val="0"/>
                <w:szCs w:val="21"/>
              </w:rPr>
              <w:t>递延税所得税负债</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r>
              <w:rPr>
                <w:rFonts w:hint="eastAsia" w:ascii="宋体" w:hAnsi="宋体" w:cs="宋体"/>
                <w:kern w:val="0"/>
                <w:szCs w:val="21"/>
              </w:rPr>
              <w:t>　</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p>
        </w:tc>
      </w:tr>
      <w:tr>
        <w:tblPrEx>
          <w:tblLayout w:type="fixed"/>
          <w:tblCellMar>
            <w:top w:w="0" w:type="dxa"/>
            <w:left w:w="108" w:type="dxa"/>
            <w:bottom w:w="0" w:type="dxa"/>
            <w:right w:w="108" w:type="dxa"/>
          </w:tblCellMar>
        </w:tblPrEx>
        <w:trPr>
          <w:trHeight w:val="285" w:hRule="atLeast"/>
          <w:jc w:val="right"/>
        </w:trPr>
        <w:tc>
          <w:tcPr>
            <w:tcW w:w="369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r>
              <w:rPr>
                <w:kern w:val="0"/>
                <w:szCs w:val="21"/>
              </w:rPr>
              <w:t xml:space="preserve">    </w:t>
            </w:r>
            <w:r>
              <w:rPr>
                <w:rFonts w:hint="eastAsia" w:ascii="宋体" w:hAnsi="宋体" w:cs="宋体"/>
                <w:kern w:val="0"/>
                <w:szCs w:val="21"/>
              </w:rPr>
              <w:t>其中：与商誉相关的递延税项负债</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r>
              <w:rPr>
                <w:rFonts w:hint="eastAsia" w:ascii="宋体" w:hAnsi="宋体" w:cs="宋体"/>
                <w:kern w:val="0"/>
                <w:szCs w:val="21"/>
              </w:rPr>
              <w:t>　</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p>
        </w:tc>
      </w:tr>
      <w:tr>
        <w:tblPrEx>
          <w:tblLayout w:type="fixed"/>
          <w:tblCellMar>
            <w:top w:w="0" w:type="dxa"/>
            <w:left w:w="108" w:type="dxa"/>
            <w:bottom w:w="0" w:type="dxa"/>
            <w:right w:w="108" w:type="dxa"/>
          </w:tblCellMar>
        </w:tblPrEx>
        <w:trPr>
          <w:trHeight w:val="285" w:hRule="atLeast"/>
          <w:jc w:val="right"/>
        </w:trPr>
        <w:tc>
          <w:tcPr>
            <w:tcW w:w="369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r>
              <w:rPr>
                <w:kern w:val="0"/>
                <w:szCs w:val="21"/>
              </w:rPr>
              <w:t xml:space="preserve">    </w:t>
            </w:r>
            <w:r>
              <w:rPr>
                <w:rFonts w:hint="eastAsia" w:ascii="宋体" w:hAnsi="宋体" w:cs="宋体"/>
                <w:kern w:val="0"/>
                <w:szCs w:val="21"/>
              </w:rPr>
              <w:t>其中：与其他无形资产（不含土地使用权）相关的递延税负债</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kern w:val="0"/>
                <w:szCs w:val="21"/>
              </w:rPr>
            </w:pPr>
          </w:p>
        </w:tc>
        <w:tc>
          <w:tcPr>
            <w:tcW w:w="1632" w:type="dxa"/>
            <w:tcBorders>
              <w:top w:val="single" w:color="auto" w:sz="4" w:space="0"/>
              <w:left w:val="single" w:color="auto" w:sz="4" w:space="0"/>
              <w:bottom w:val="single" w:color="auto" w:sz="4" w:space="0"/>
              <w:right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kern w:val="0"/>
                <w:szCs w:val="21"/>
              </w:rPr>
            </w:pPr>
          </w:p>
        </w:tc>
      </w:tr>
    </w:tbl>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57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附表</w:t>
      </w:r>
      <w:r>
        <w:rPr>
          <w:rFonts w:ascii="仿宋_GB2312" w:hAnsi="仿宋_GB2312" w:eastAsia="仿宋_GB2312" w:cs="仿宋_GB2312"/>
          <w:kern w:val="0"/>
          <w:sz w:val="30"/>
          <w:szCs w:val="30"/>
        </w:rPr>
        <w:t>4</w:t>
      </w:r>
      <w:r>
        <w:rPr>
          <w:rFonts w:hint="eastAsia" w:ascii="仿宋_GB2312" w:hAnsi="仿宋_GB2312" w:eastAsia="仿宋_GB2312" w:cs="仿宋_GB2312"/>
          <w:kern w:val="0"/>
          <w:sz w:val="30"/>
          <w:szCs w:val="30"/>
        </w:rPr>
        <w:t>：第二步披露的所有项目与资本构成披露模板中的项目对应关系表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单位：千元（人民币）</w:t>
      </w:r>
    </w:p>
    <w:tbl>
      <w:tblPr>
        <w:tblStyle w:val="5"/>
        <w:tblW w:w="7935" w:type="dxa"/>
        <w:tblInd w:w="93" w:type="dxa"/>
        <w:tblLayout w:type="fixed"/>
        <w:tblCellMar>
          <w:top w:w="0" w:type="dxa"/>
          <w:left w:w="108" w:type="dxa"/>
          <w:bottom w:w="0" w:type="dxa"/>
          <w:right w:w="108" w:type="dxa"/>
        </w:tblCellMar>
      </w:tblPr>
      <w:tblGrid>
        <w:gridCol w:w="1920"/>
        <w:gridCol w:w="1920"/>
        <w:gridCol w:w="1920"/>
        <w:gridCol w:w="2175"/>
      </w:tblGrid>
      <w:tr>
        <w:tblPrEx>
          <w:tblLayout w:type="fixed"/>
          <w:tblCellMar>
            <w:top w:w="0" w:type="dxa"/>
            <w:left w:w="108" w:type="dxa"/>
            <w:bottom w:w="0" w:type="dxa"/>
            <w:right w:w="108" w:type="dxa"/>
          </w:tblCellMar>
        </w:tblPrEx>
        <w:trPr>
          <w:trHeight w:val="285" w:hRule="atLeast"/>
        </w:trPr>
        <w:tc>
          <w:tcPr>
            <w:tcW w:w="3840" w:type="dxa"/>
            <w:gridSpan w:val="2"/>
            <w:tcBorders>
              <w:top w:val="single" w:color="auto" w:sz="8" w:space="0"/>
              <w:left w:val="single" w:color="auto" w:sz="8" w:space="0"/>
              <w:bottom w:val="single" w:color="auto" w:sz="4" w:space="0"/>
              <w:right w:val="single" w:color="auto" w:sz="4" w:space="0"/>
            </w:tcBorders>
            <w:shd w:val="clear" w:color="auto" w:fill="969696"/>
            <w:noWrap w:val="0"/>
            <w:vAlign w:val="top"/>
          </w:tcPr>
          <w:p>
            <w:pPr>
              <w:widowControl/>
              <w:rPr>
                <w:rFonts w:ascii="宋体" w:hAnsi="宋体" w:cs="宋体"/>
                <w:b/>
                <w:bCs/>
                <w:kern w:val="0"/>
                <w:szCs w:val="21"/>
              </w:rPr>
            </w:pPr>
            <w:r>
              <w:rPr>
                <w:rFonts w:hint="eastAsia" w:ascii="宋体" w:hAnsi="宋体" w:cs="宋体"/>
                <w:b/>
                <w:bCs/>
                <w:kern w:val="0"/>
                <w:szCs w:val="21"/>
              </w:rPr>
              <w:t>　</w:t>
            </w:r>
          </w:p>
        </w:tc>
        <w:tc>
          <w:tcPr>
            <w:tcW w:w="1920" w:type="dxa"/>
            <w:tcBorders>
              <w:top w:val="single" w:color="auto" w:sz="8" w:space="0"/>
              <w:left w:val="nil"/>
              <w:bottom w:val="single" w:color="auto" w:sz="4" w:space="0"/>
              <w:right w:val="single" w:color="auto" w:sz="4" w:space="0"/>
            </w:tcBorders>
            <w:shd w:val="clear" w:color="auto" w:fill="969696"/>
            <w:noWrap w:val="0"/>
            <w:vAlign w:val="top"/>
          </w:tcPr>
          <w:p>
            <w:pPr>
              <w:widowControl/>
              <w:rPr>
                <w:rFonts w:ascii="宋体" w:hAnsi="宋体" w:cs="宋体"/>
                <w:b/>
                <w:bCs/>
                <w:kern w:val="0"/>
                <w:szCs w:val="21"/>
              </w:rPr>
            </w:pPr>
            <w:r>
              <w:rPr>
                <w:rFonts w:hint="eastAsia" w:ascii="宋体" w:hAnsi="宋体" w:cs="宋体"/>
                <w:b/>
                <w:bCs/>
                <w:kern w:val="0"/>
                <w:szCs w:val="21"/>
              </w:rPr>
              <w:t>　数额</w:t>
            </w:r>
          </w:p>
        </w:tc>
        <w:tc>
          <w:tcPr>
            <w:tcW w:w="2175" w:type="dxa"/>
            <w:tcBorders>
              <w:top w:val="single" w:color="auto" w:sz="8" w:space="0"/>
              <w:left w:val="nil"/>
              <w:bottom w:val="single" w:color="auto" w:sz="4" w:space="0"/>
              <w:right w:val="single" w:color="auto" w:sz="8" w:space="0"/>
            </w:tcBorders>
            <w:shd w:val="clear" w:color="auto" w:fill="969696"/>
            <w:noWrap w:val="0"/>
            <w:vAlign w:val="top"/>
          </w:tcPr>
          <w:p>
            <w:pPr>
              <w:widowControl/>
              <w:rPr>
                <w:rFonts w:ascii="宋体" w:hAnsi="宋体" w:cs="宋体"/>
                <w:b/>
                <w:bCs/>
                <w:kern w:val="0"/>
                <w:szCs w:val="21"/>
              </w:rPr>
            </w:pPr>
            <w:r>
              <w:rPr>
                <w:rFonts w:hint="eastAsia" w:ascii="宋体" w:hAnsi="宋体" w:cs="宋体"/>
                <w:b/>
                <w:bCs/>
                <w:kern w:val="0"/>
                <w:szCs w:val="21"/>
              </w:rPr>
              <w:t>代码</w:t>
            </w:r>
          </w:p>
        </w:tc>
      </w:tr>
      <w:tr>
        <w:tblPrEx>
          <w:tblLayout w:type="fixed"/>
          <w:tblCellMar>
            <w:top w:w="0" w:type="dxa"/>
            <w:left w:w="108" w:type="dxa"/>
            <w:bottom w:w="0" w:type="dxa"/>
            <w:right w:w="108" w:type="dxa"/>
          </w:tblCellMar>
        </w:tblPrEx>
        <w:trPr>
          <w:trHeight w:val="28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1</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实收资本</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1,803,073</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2</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未分配利润</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1,859,457</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3</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累计其他综合收益和公开储备</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 xml:space="preserve">3a </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资本公积</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3,185,898</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3b</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一般风险准备</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3,584,529</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3c</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盈余公积</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5,054,053</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127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4</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过渡期内可计入核心一级资本数额（仅适用于非股份公司，股份制公司的银行填0即可）</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5</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少数股东资本可计入部分</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28,029</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6</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监管调整前的核心一级资本</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15,515,038</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3840" w:type="dxa"/>
            <w:gridSpan w:val="2"/>
            <w:tcBorders>
              <w:top w:val="single" w:color="auto" w:sz="4" w:space="0"/>
              <w:left w:val="single" w:color="auto" w:sz="8" w:space="0"/>
              <w:bottom w:val="single" w:color="auto" w:sz="4" w:space="0"/>
              <w:right w:val="single" w:color="auto" w:sz="4" w:space="0"/>
            </w:tcBorders>
            <w:shd w:val="clear" w:color="auto" w:fill="969696"/>
            <w:noWrap w:val="0"/>
            <w:vAlign w:val="top"/>
          </w:tcPr>
          <w:p>
            <w:pPr>
              <w:widowControl/>
              <w:rPr>
                <w:rFonts w:ascii="宋体" w:hAnsi="宋体" w:cs="宋体"/>
                <w:b/>
                <w:bCs/>
                <w:kern w:val="0"/>
                <w:szCs w:val="21"/>
              </w:rPr>
            </w:pPr>
            <w:r>
              <w:rPr>
                <w:rFonts w:hint="eastAsia" w:ascii="宋体" w:hAnsi="宋体" w:cs="宋体"/>
                <w:b/>
                <w:bCs/>
                <w:kern w:val="0"/>
                <w:szCs w:val="21"/>
              </w:rPr>
              <w:t>　</w:t>
            </w:r>
          </w:p>
        </w:tc>
        <w:tc>
          <w:tcPr>
            <w:tcW w:w="1920" w:type="dxa"/>
            <w:tcBorders>
              <w:top w:val="nil"/>
              <w:left w:val="nil"/>
              <w:bottom w:val="single" w:color="auto" w:sz="4" w:space="0"/>
              <w:right w:val="single" w:color="auto" w:sz="4" w:space="0"/>
            </w:tcBorders>
            <w:shd w:val="clear" w:color="auto" w:fill="969696"/>
            <w:noWrap w:val="0"/>
            <w:vAlign w:val="center"/>
          </w:tcPr>
          <w:p>
            <w:pPr>
              <w:jc w:val="right"/>
              <w:rPr>
                <w:rFonts w:hint="default" w:ascii="Arial" w:hAnsi="Arial" w:cs="Arial"/>
                <w:b/>
                <w:bCs/>
                <w:kern w:val="0"/>
                <w:szCs w:val="21"/>
              </w:rPr>
            </w:pPr>
          </w:p>
        </w:tc>
        <w:tc>
          <w:tcPr>
            <w:tcW w:w="2175" w:type="dxa"/>
            <w:tcBorders>
              <w:top w:val="nil"/>
              <w:left w:val="nil"/>
              <w:bottom w:val="single" w:color="auto" w:sz="4" w:space="0"/>
              <w:right w:val="single" w:color="auto" w:sz="8" w:space="0"/>
            </w:tcBorders>
            <w:noWrap/>
            <w:vAlign w:val="top"/>
          </w:tcPr>
          <w:p/>
        </w:tc>
      </w:tr>
      <w:tr>
        <w:tblPrEx>
          <w:tblLayout w:type="fixed"/>
          <w:tblCellMar>
            <w:top w:w="0" w:type="dxa"/>
            <w:left w:w="108" w:type="dxa"/>
            <w:bottom w:w="0" w:type="dxa"/>
            <w:right w:w="108" w:type="dxa"/>
          </w:tblCellMar>
        </w:tblPrEx>
        <w:trPr>
          <w:trHeight w:val="28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7</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审慎估值调整</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8</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商誉（扣除递延税负债）</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102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9</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其他无形资产（土地使用权除外）（扣除递延税负债）</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201,895</w:t>
            </w:r>
          </w:p>
        </w:tc>
        <w:tc>
          <w:tcPr>
            <w:tcW w:w="2175" w:type="dxa"/>
            <w:tcBorders>
              <w:top w:val="nil"/>
              <w:left w:val="nil"/>
              <w:bottom w:val="single" w:color="auto" w:sz="4" w:space="0"/>
              <w:right w:val="single" w:color="auto" w:sz="8" w:space="0"/>
            </w:tcBorders>
            <w:noWrap/>
            <w:vAlign w:val="center"/>
          </w:tcPr>
          <w:p>
            <w:pPr>
              <w:jc w:val="right"/>
            </w:pPr>
            <w:r>
              <w:t>a-b</w:t>
            </w: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10</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依赖未来盈利的由经营亏损引起的净递延税资产</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9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11</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对未按公允价值计量的项目进行现金流套期形成的储备</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12</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贷款损失准备缺口</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13</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资产证券化销售利得</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102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14</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自身信用风险变化导致其负债公允价值变化带来的未实现损益</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15</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确定受益类的养老金资产净额（扣除递延税项负债）</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16</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直接或间接持有本银行的普通股</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102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17</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银行间或银行与其他金融机构间通过协议相互持有的核心一级资本</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102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18</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对未并表金融机构小额少数资本投资中的核心一级资本中应扣除金额</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102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19</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对未并表金融机构大额少数资本投资中的核心一级资本中应扣除金额</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91,888</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20</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抵押贷款服务权</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21</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其他依赖于银行未来盈利的净递延税资产中应扣除金额</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04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22</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对未并表金融机构大额少数资本投资中的核心一级资本和其他依赖于银行未来盈利的净递延税资产的未扣除部分超过核心一级资本15%的应扣除金额</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440682</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102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23</w:t>
            </w:r>
          </w:p>
        </w:tc>
        <w:tc>
          <w:tcPr>
            <w:tcW w:w="1920" w:type="dxa"/>
            <w:tcBorders>
              <w:top w:val="nil"/>
              <w:left w:val="nil"/>
              <w:bottom w:val="single" w:color="auto" w:sz="4" w:space="0"/>
              <w:right w:val="single" w:color="auto" w:sz="4" w:space="0"/>
            </w:tcBorders>
            <w:noWrap w:val="0"/>
            <w:vAlign w:val="top"/>
          </w:tcPr>
          <w:p>
            <w:pPr>
              <w:widowControl/>
              <w:rPr>
                <w:rFonts w:ascii="宋体" w:hAnsi="宋体" w:cs="宋体"/>
                <w:kern w:val="0"/>
                <w:szCs w:val="21"/>
              </w:rPr>
            </w:pPr>
            <w:r>
              <w:rPr>
                <w:rFonts w:hint="eastAsia" w:ascii="宋体" w:hAnsi="宋体" w:cs="宋体"/>
                <w:kern w:val="0"/>
                <w:szCs w:val="21"/>
              </w:rPr>
              <w:t xml:space="preserve">    其中：应在对金融机构大额少数资本投资中扣除的金额</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253906</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24</w:t>
            </w:r>
          </w:p>
        </w:tc>
        <w:tc>
          <w:tcPr>
            <w:tcW w:w="1920" w:type="dxa"/>
            <w:tcBorders>
              <w:top w:val="nil"/>
              <w:left w:val="nil"/>
              <w:bottom w:val="single" w:color="auto" w:sz="4" w:space="0"/>
              <w:right w:val="single" w:color="auto" w:sz="4" w:space="0"/>
            </w:tcBorders>
            <w:noWrap w:val="0"/>
            <w:vAlign w:val="top"/>
          </w:tcPr>
          <w:p>
            <w:pPr>
              <w:widowControl/>
              <w:rPr>
                <w:rFonts w:ascii="宋体" w:hAnsi="宋体" w:cs="宋体"/>
                <w:kern w:val="0"/>
                <w:szCs w:val="21"/>
              </w:rPr>
            </w:pPr>
            <w:r>
              <w:rPr>
                <w:rFonts w:hint="eastAsia" w:ascii="宋体" w:hAnsi="宋体" w:cs="宋体"/>
                <w:kern w:val="0"/>
                <w:szCs w:val="21"/>
              </w:rPr>
              <w:t xml:space="preserve">    其中：抵押贷款服务权应扣除的金额</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102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25</w:t>
            </w:r>
          </w:p>
        </w:tc>
        <w:tc>
          <w:tcPr>
            <w:tcW w:w="1920" w:type="dxa"/>
            <w:tcBorders>
              <w:top w:val="nil"/>
              <w:left w:val="nil"/>
              <w:bottom w:val="single" w:color="auto" w:sz="4" w:space="0"/>
              <w:right w:val="single" w:color="auto" w:sz="4" w:space="0"/>
            </w:tcBorders>
            <w:noWrap w:val="0"/>
            <w:vAlign w:val="top"/>
          </w:tcPr>
          <w:p>
            <w:pPr>
              <w:widowControl/>
              <w:rPr>
                <w:rFonts w:ascii="宋体" w:hAnsi="宋体" w:cs="宋体"/>
                <w:kern w:val="0"/>
                <w:szCs w:val="21"/>
              </w:rPr>
            </w:pPr>
            <w:r>
              <w:rPr>
                <w:rFonts w:hint="eastAsia" w:ascii="宋体" w:hAnsi="宋体" w:cs="宋体"/>
                <w:kern w:val="0"/>
                <w:szCs w:val="21"/>
              </w:rPr>
              <w:t xml:space="preserve">    其中：应在其他依赖于银行未来盈利的净递延税资产中扣除的金额</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186776</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 xml:space="preserve">26a </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对有控制权但不并表的金融机构的核心一级资本投资</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26b</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bookmarkStart w:id="4" w:name="RANGE!B32"/>
            <w:r>
              <w:rPr>
                <w:rFonts w:hint="eastAsia" w:ascii="宋体" w:hAnsi="宋体" w:cs="宋体"/>
                <w:kern w:val="0"/>
                <w:szCs w:val="21"/>
              </w:rPr>
              <w:t>对有控制权但不并表的金融机构的核心一级资本缺口</w:t>
            </w:r>
            <w:bookmarkEnd w:id="4"/>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 xml:space="preserve">26c </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bookmarkStart w:id="5" w:name="RANGE!B33"/>
            <w:r>
              <w:rPr>
                <w:rFonts w:hint="eastAsia" w:ascii="宋体" w:hAnsi="宋体" w:cs="宋体"/>
                <w:kern w:val="0"/>
                <w:szCs w:val="21"/>
              </w:rPr>
              <w:t>其他应在核心一级资本中扣除的项目合计</w:t>
            </w:r>
            <w:bookmarkEnd w:id="5"/>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27</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应从其他一级资本和二级资本中扣除的未扣缺口</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b/>
                <w:bCs/>
                <w:kern w:val="0"/>
                <w:szCs w:val="21"/>
              </w:rPr>
            </w:pPr>
            <w:r>
              <w:rPr>
                <w:rFonts w:hint="eastAsia" w:ascii="宋体" w:hAnsi="宋体" w:cs="宋体"/>
                <w:b/>
                <w:bCs/>
                <w:kern w:val="0"/>
                <w:szCs w:val="21"/>
              </w:rPr>
              <w:t>28</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b/>
                <w:bCs/>
                <w:kern w:val="0"/>
                <w:szCs w:val="21"/>
              </w:rPr>
            </w:pPr>
            <w:r>
              <w:rPr>
                <w:rFonts w:hint="eastAsia" w:ascii="宋体" w:hAnsi="宋体" w:cs="宋体"/>
                <w:b/>
                <w:bCs/>
                <w:kern w:val="0"/>
                <w:szCs w:val="21"/>
              </w:rPr>
              <w:t>核心一级资本监管调整总和</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734,464</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b/>
                <w:bCs/>
                <w:kern w:val="0"/>
                <w:szCs w:val="21"/>
              </w:rPr>
            </w:pPr>
            <w:r>
              <w:rPr>
                <w:rFonts w:hint="eastAsia" w:ascii="宋体" w:hAnsi="宋体" w:cs="宋体"/>
                <w:b/>
                <w:bCs/>
                <w:kern w:val="0"/>
                <w:szCs w:val="21"/>
              </w:rPr>
              <w:t>29</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b/>
                <w:bCs/>
                <w:kern w:val="0"/>
                <w:szCs w:val="21"/>
              </w:rPr>
            </w:pPr>
            <w:r>
              <w:rPr>
                <w:rFonts w:hint="eastAsia" w:ascii="宋体" w:hAnsi="宋体" w:cs="宋体"/>
                <w:b/>
                <w:bCs/>
                <w:kern w:val="0"/>
                <w:szCs w:val="21"/>
              </w:rPr>
              <w:t>核心一级资本</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14,780,574</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3840" w:type="dxa"/>
            <w:gridSpan w:val="2"/>
            <w:tcBorders>
              <w:top w:val="single" w:color="auto" w:sz="4" w:space="0"/>
              <w:left w:val="single" w:color="auto" w:sz="8" w:space="0"/>
              <w:bottom w:val="single" w:color="auto" w:sz="4" w:space="0"/>
              <w:right w:val="single" w:color="auto" w:sz="4" w:space="0"/>
            </w:tcBorders>
            <w:shd w:val="clear" w:color="auto" w:fill="969696"/>
            <w:noWrap w:val="0"/>
            <w:vAlign w:val="top"/>
          </w:tcPr>
          <w:p>
            <w:pPr>
              <w:widowControl/>
              <w:rPr>
                <w:rFonts w:ascii="宋体" w:hAnsi="宋体" w:cs="宋体"/>
                <w:b/>
                <w:bCs/>
                <w:kern w:val="0"/>
                <w:szCs w:val="21"/>
              </w:rPr>
            </w:pPr>
            <w:r>
              <w:rPr>
                <w:rFonts w:hint="eastAsia" w:ascii="宋体" w:hAnsi="宋体" w:cs="宋体"/>
                <w:b/>
                <w:bCs/>
                <w:kern w:val="0"/>
                <w:szCs w:val="21"/>
              </w:rPr>
              <w:t>　</w:t>
            </w:r>
          </w:p>
        </w:tc>
        <w:tc>
          <w:tcPr>
            <w:tcW w:w="1920" w:type="dxa"/>
            <w:tcBorders>
              <w:top w:val="nil"/>
              <w:left w:val="nil"/>
              <w:bottom w:val="single" w:color="auto" w:sz="4" w:space="0"/>
              <w:right w:val="single" w:color="auto" w:sz="4" w:space="0"/>
            </w:tcBorders>
            <w:shd w:val="clear" w:color="auto" w:fill="969696"/>
            <w:noWrap w:val="0"/>
            <w:vAlign w:val="center"/>
          </w:tcPr>
          <w:p>
            <w:pPr>
              <w:jc w:val="right"/>
              <w:rPr>
                <w:rFonts w:hint="default" w:ascii="Arial" w:hAnsi="Arial" w:cs="Arial"/>
                <w:b/>
                <w:bCs/>
                <w:kern w:val="0"/>
                <w:szCs w:val="21"/>
              </w:rPr>
            </w:pPr>
          </w:p>
        </w:tc>
        <w:tc>
          <w:tcPr>
            <w:tcW w:w="2175" w:type="dxa"/>
            <w:tcBorders>
              <w:top w:val="nil"/>
              <w:left w:val="nil"/>
              <w:bottom w:val="single" w:color="auto" w:sz="4" w:space="0"/>
              <w:right w:val="single" w:color="auto" w:sz="8" w:space="0"/>
            </w:tcBorders>
            <w:noWrap/>
            <w:vAlign w:val="top"/>
          </w:tc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30</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其他一级资本工具及其溢价</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31</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其中：权益部分</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32</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其中：负债部分</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33</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过渡期后不可计入其他一级资本的工具</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34</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少数股东资本可计入部分</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3737</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35</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其中：过渡期后不可计入其他一级资本的部分</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b/>
                <w:bCs/>
                <w:kern w:val="0"/>
                <w:szCs w:val="21"/>
              </w:rPr>
            </w:pPr>
            <w:r>
              <w:rPr>
                <w:rFonts w:hint="eastAsia" w:ascii="宋体" w:hAnsi="宋体" w:cs="宋体"/>
                <w:b/>
                <w:bCs/>
                <w:kern w:val="0"/>
                <w:szCs w:val="21"/>
              </w:rPr>
              <w:t>36</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b/>
                <w:bCs/>
                <w:kern w:val="0"/>
                <w:szCs w:val="21"/>
              </w:rPr>
            </w:pPr>
            <w:r>
              <w:rPr>
                <w:rFonts w:hint="eastAsia" w:ascii="宋体" w:hAnsi="宋体" w:cs="宋体"/>
                <w:b/>
                <w:bCs/>
                <w:kern w:val="0"/>
                <w:szCs w:val="21"/>
              </w:rPr>
              <w:t>监管调整前的其他一级资本</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3737</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3840" w:type="dxa"/>
            <w:gridSpan w:val="2"/>
            <w:tcBorders>
              <w:top w:val="single" w:color="auto" w:sz="4" w:space="0"/>
              <w:left w:val="single" w:color="auto" w:sz="8" w:space="0"/>
              <w:bottom w:val="single" w:color="auto" w:sz="4" w:space="0"/>
              <w:right w:val="single" w:color="auto" w:sz="4" w:space="0"/>
            </w:tcBorders>
            <w:shd w:val="clear" w:color="auto" w:fill="969696"/>
            <w:noWrap w:val="0"/>
            <w:vAlign w:val="top"/>
          </w:tcPr>
          <w:p>
            <w:pPr>
              <w:widowControl/>
              <w:rPr>
                <w:rFonts w:ascii="宋体" w:hAnsi="宋体" w:cs="宋体"/>
                <w:b/>
                <w:bCs/>
                <w:kern w:val="0"/>
                <w:szCs w:val="21"/>
              </w:rPr>
            </w:pPr>
            <w:r>
              <w:rPr>
                <w:rFonts w:hint="eastAsia" w:ascii="宋体" w:hAnsi="宋体" w:cs="宋体"/>
                <w:b/>
                <w:bCs/>
                <w:kern w:val="0"/>
                <w:szCs w:val="21"/>
              </w:rPr>
              <w:t>　</w:t>
            </w:r>
          </w:p>
        </w:tc>
        <w:tc>
          <w:tcPr>
            <w:tcW w:w="1920" w:type="dxa"/>
            <w:tcBorders>
              <w:top w:val="nil"/>
              <w:left w:val="nil"/>
              <w:bottom w:val="single" w:color="auto" w:sz="4" w:space="0"/>
              <w:right w:val="single" w:color="auto" w:sz="4" w:space="0"/>
            </w:tcBorders>
            <w:shd w:val="clear" w:color="auto" w:fill="969696"/>
            <w:noWrap w:val="0"/>
            <w:vAlign w:val="center"/>
          </w:tcPr>
          <w:p>
            <w:pPr>
              <w:jc w:val="right"/>
              <w:rPr>
                <w:rFonts w:hint="default" w:ascii="Arial" w:hAnsi="Arial" w:cs="Arial"/>
                <w:b/>
                <w:bCs/>
                <w:kern w:val="0"/>
                <w:szCs w:val="21"/>
              </w:rPr>
            </w:pPr>
          </w:p>
        </w:tc>
        <w:tc>
          <w:tcPr>
            <w:tcW w:w="2175" w:type="dxa"/>
            <w:tcBorders>
              <w:top w:val="nil"/>
              <w:left w:val="nil"/>
              <w:bottom w:val="single" w:color="auto" w:sz="4" w:space="0"/>
              <w:right w:val="single" w:color="auto" w:sz="8" w:space="0"/>
            </w:tcBorders>
            <w:noWrap/>
            <w:vAlign w:val="top"/>
          </w:tc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37</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直接或间接持有的本银行其他一级资本</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102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38</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银行间或银行与其他金融机构间通过协议相互持有的其他一级资本</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102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39</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对未并表金融机构小额少数资本投资中的其他一级资本应扣除部分</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40</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对未并表金融机构大额少数资本投资中的其他一级资本</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bookmarkStart w:id="6" w:name="RANGE!A50"/>
            <w:r>
              <w:rPr>
                <w:rFonts w:hint="eastAsia" w:ascii="宋体" w:hAnsi="宋体" w:cs="宋体"/>
                <w:kern w:val="0"/>
                <w:szCs w:val="21"/>
              </w:rPr>
              <w:t>41a</w:t>
            </w:r>
            <w:bookmarkEnd w:id="6"/>
            <w:r>
              <w:rPr>
                <w:rFonts w:hint="eastAsia" w:ascii="宋体" w:hAnsi="宋体" w:cs="宋体"/>
                <w:kern w:val="0"/>
                <w:szCs w:val="21"/>
              </w:rPr>
              <w:t xml:space="preserve"> </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对有控制权但不并表的金融机构的其他一级资本投资</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41b</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对有控制权但不并表的金融机构的其他一级资本缺口</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 xml:space="preserve">41c </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其他应在其他一级资本中扣除的项目</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42</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应从二级资本中扣除的未扣缺口</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b/>
                <w:bCs/>
                <w:kern w:val="0"/>
                <w:szCs w:val="21"/>
              </w:rPr>
            </w:pPr>
            <w:r>
              <w:rPr>
                <w:rFonts w:hint="eastAsia" w:ascii="宋体" w:hAnsi="宋体" w:cs="宋体"/>
                <w:b/>
                <w:bCs/>
                <w:kern w:val="0"/>
                <w:szCs w:val="21"/>
              </w:rPr>
              <w:t>43</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b/>
                <w:bCs/>
                <w:kern w:val="0"/>
                <w:szCs w:val="21"/>
              </w:rPr>
            </w:pPr>
            <w:r>
              <w:rPr>
                <w:rFonts w:hint="eastAsia" w:ascii="宋体" w:hAnsi="宋体" w:cs="宋体"/>
                <w:b/>
                <w:bCs/>
                <w:kern w:val="0"/>
                <w:szCs w:val="21"/>
              </w:rPr>
              <w:t>其他一级资本监管调整总和</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b/>
                <w:bCs/>
                <w:kern w:val="0"/>
                <w:szCs w:val="21"/>
              </w:rPr>
            </w:pPr>
            <w:r>
              <w:rPr>
                <w:rFonts w:hint="eastAsia" w:ascii="宋体" w:hAnsi="宋体" w:cs="宋体"/>
                <w:b/>
                <w:bCs/>
                <w:kern w:val="0"/>
                <w:szCs w:val="21"/>
              </w:rPr>
              <w:t>44</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b/>
                <w:bCs/>
                <w:kern w:val="0"/>
                <w:szCs w:val="21"/>
              </w:rPr>
            </w:pPr>
            <w:r>
              <w:rPr>
                <w:rFonts w:hint="eastAsia" w:ascii="宋体" w:hAnsi="宋体" w:cs="宋体"/>
                <w:b/>
                <w:bCs/>
                <w:kern w:val="0"/>
                <w:szCs w:val="21"/>
              </w:rPr>
              <w:t>其他一级资本</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3737</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b/>
                <w:bCs/>
                <w:kern w:val="0"/>
                <w:szCs w:val="21"/>
              </w:rPr>
            </w:pPr>
            <w:r>
              <w:rPr>
                <w:rFonts w:hint="eastAsia" w:ascii="宋体" w:hAnsi="宋体" w:cs="宋体"/>
                <w:b/>
                <w:bCs/>
                <w:kern w:val="0"/>
                <w:szCs w:val="21"/>
              </w:rPr>
              <w:t>45</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b/>
                <w:bCs/>
                <w:kern w:val="0"/>
                <w:szCs w:val="21"/>
              </w:rPr>
            </w:pPr>
            <w:r>
              <w:rPr>
                <w:rFonts w:hint="eastAsia" w:ascii="宋体" w:hAnsi="宋体" w:cs="宋体"/>
                <w:b/>
                <w:bCs/>
                <w:kern w:val="0"/>
                <w:szCs w:val="21"/>
              </w:rPr>
              <w:t>一级资本（核心一级资本+其他一级资本）</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14,784,311</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3840" w:type="dxa"/>
            <w:gridSpan w:val="2"/>
            <w:tcBorders>
              <w:top w:val="single" w:color="auto" w:sz="4" w:space="0"/>
              <w:left w:val="single" w:color="auto" w:sz="8" w:space="0"/>
              <w:bottom w:val="single" w:color="auto" w:sz="4" w:space="0"/>
              <w:right w:val="single" w:color="auto" w:sz="4" w:space="0"/>
            </w:tcBorders>
            <w:shd w:val="clear" w:color="auto" w:fill="969696"/>
            <w:noWrap w:val="0"/>
            <w:vAlign w:val="top"/>
          </w:tcPr>
          <w:p>
            <w:pPr>
              <w:widowControl/>
              <w:rPr>
                <w:rFonts w:ascii="宋体" w:hAnsi="宋体" w:cs="宋体"/>
                <w:b/>
                <w:bCs/>
                <w:kern w:val="0"/>
                <w:szCs w:val="21"/>
              </w:rPr>
            </w:pPr>
            <w:r>
              <w:rPr>
                <w:rFonts w:hint="eastAsia" w:ascii="宋体" w:hAnsi="宋体" w:cs="宋体"/>
                <w:b/>
                <w:bCs/>
                <w:kern w:val="0"/>
                <w:szCs w:val="21"/>
              </w:rPr>
              <w:t>　</w:t>
            </w:r>
          </w:p>
        </w:tc>
        <w:tc>
          <w:tcPr>
            <w:tcW w:w="1920" w:type="dxa"/>
            <w:tcBorders>
              <w:top w:val="nil"/>
              <w:left w:val="nil"/>
              <w:bottom w:val="single" w:color="auto" w:sz="4" w:space="0"/>
              <w:right w:val="single" w:color="auto" w:sz="4" w:space="0"/>
            </w:tcBorders>
            <w:shd w:val="clear" w:color="auto" w:fill="969696"/>
            <w:noWrap w:val="0"/>
            <w:vAlign w:val="center"/>
          </w:tcPr>
          <w:p>
            <w:pPr>
              <w:jc w:val="right"/>
              <w:rPr>
                <w:rFonts w:hint="default" w:ascii="Arial" w:hAnsi="Arial" w:cs="Arial"/>
                <w:b/>
                <w:bCs/>
                <w:kern w:val="0"/>
                <w:szCs w:val="21"/>
              </w:rPr>
            </w:pPr>
          </w:p>
        </w:tc>
        <w:tc>
          <w:tcPr>
            <w:tcW w:w="2175" w:type="dxa"/>
            <w:tcBorders>
              <w:top w:val="nil"/>
              <w:left w:val="nil"/>
              <w:bottom w:val="single" w:color="auto" w:sz="4" w:space="0"/>
              <w:right w:val="single" w:color="auto" w:sz="8" w:space="0"/>
            </w:tcBorders>
            <w:noWrap/>
            <w:vAlign w:val="top"/>
          </w:tc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46</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二级资本工具及其溢价</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787085</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47</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过渡期后不可计入二级资本的部分</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48</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少数股东资本可计入部分</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7,475</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49</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其中：过渡期结束后不可计入的部分</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50</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超额贷款损失准备可计入部分</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1,611,397</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b/>
                <w:bCs/>
                <w:kern w:val="0"/>
                <w:szCs w:val="21"/>
              </w:rPr>
            </w:pPr>
            <w:r>
              <w:rPr>
                <w:rFonts w:hint="eastAsia" w:ascii="宋体" w:hAnsi="宋体" w:cs="宋体"/>
                <w:b/>
                <w:bCs/>
                <w:kern w:val="0"/>
                <w:szCs w:val="21"/>
              </w:rPr>
              <w:t>51</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b/>
                <w:bCs/>
                <w:kern w:val="0"/>
                <w:szCs w:val="21"/>
              </w:rPr>
            </w:pPr>
            <w:r>
              <w:rPr>
                <w:rFonts w:hint="eastAsia" w:ascii="宋体" w:hAnsi="宋体" w:cs="宋体"/>
                <w:b/>
                <w:bCs/>
                <w:kern w:val="0"/>
                <w:szCs w:val="21"/>
              </w:rPr>
              <w:t>监管调整前的二级资本</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2,405,957</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3840" w:type="dxa"/>
            <w:gridSpan w:val="2"/>
            <w:tcBorders>
              <w:top w:val="single" w:color="auto" w:sz="4" w:space="0"/>
              <w:left w:val="single" w:color="auto" w:sz="8" w:space="0"/>
              <w:bottom w:val="single" w:color="auto" w:sz="4" w:space="0"/>
              <w:right w:val="single" w:color="auto" w:sz="4" w:space="0"/>
            </w:tcBorders>
            <w:shd w:val="clear" w:color="auto" w:fill="969696"/>
            <w:noWrap w:val="0"/>
            <w:vAlign w:val="top"/>
          </w:tcPr>
          <w:p>
            <w:pPr>
              <w:widowControl/>
              <w:rPr>
                <w:rFonts w:ascii="宋体" w:hAnsi="宋体" w:cs="宋体"/>
                <w:b/>
                <w:bCs/>
                <w:kern w:val="0"/>
                <w:szCs w:val="21"/>
              </w:rPr>
            </w:pPr>
            <w:r>
              <w:rPr>
                <w:rFonts w:hint="eastAsia" w:ascii="宋体" w:hAnsi="宋体" w:cs="宋体"/>
                <w:b/>
                <w:bCs/>
                <w:kern w:val="0"/>
                <w:szCs w:val="21"/>
              </w:rPr>
              <w:t>　</w:t>
            </w:r>
          </w:p>
        </w:tc>
        <w:tc>
          <w:tcPr>
            <w:tcW w:w="1920" w:type="dxa"/>
            <w:tcBorders>
              <w:top w:val="nil"/>
              <w:left w:val="nil"/>
              <w:bottom w:val="single" w:color="auto" w:sz="4" w:space="0"/>
              <w:right w:val="single" w:color="auto" w:sz="4" w:space="0"/>
            </w:tcBorders>
            <w:shd w:val="clear" w:color="auto" w:fill="969696"/>
            <w:noWrap w:val="0"/>
            <w:vAlign w:val="center"/>
          </w:tcPr>
          <w:p>
            <w:pPr>
              <w:jc w:val="right"/>
              <w:rPr>
                <w:rFonts w:hint="default" w:ascii="Arial" w:hAnsi="Arial" w:cs="Arial"/>
                <w:kern w:val="0"/>
                <w:szCs w:val="21"/>
              </w:rPr>
            </w:pPr>
          </w:p>
        </w:tc>
        <w:tc>
          <w:tcPr>
            <w:tcW w:w="2175" w:type="dxa"/>
            <w:tcBorders>
              <w:top w:val="nil"/>
              <w:left w:val="nil"/>
              <w:bottom w:val="single" w:color="auto" w:sz="4" w:space="0"/>
              <w:right w:val="single" w:color="auto" w:sz="8" w:space="0"/>
            </w:tcBorders>
            <w:noWrap/>
            <w:vAlign w:val="top"/>
          </w:tc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52</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直接或间接持有的本银行的二级资本</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102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53</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银行间或银行与其他金融机构间通过协议相互持有的二级资本</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102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54</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对未并表金融机构小额少数资本投资中的二级资本应扣除部分</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55</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对未并表金融机构大额少数资本投资中的二级资本</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 xml:space="preserve">56a </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对有控制权但不并表的金融机构的二级资本投资</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76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56b</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有控制权但不并表的金融机构的二级资本缺口</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 xml:space="preserve">56c </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kern w:val="0"/>
                <w:szCs w:val="21"/>
              </w:rPr>
            </w:pPr>
            <w:r>
              <w:rPr>
                <w:rFonts w:hint="eastAsia" w:ascii="宋体" w:hAnsi="宋体" w:cs="宋体"/>
                <w:kern w:val="0"/>
                <w:szCs w:val="21"/>
              </w:rPr>
              <w:t>其他应在二级资本中扣除的项目</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10"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b/>
                <w:bCs/>
                <w:kern w:val="0"/>
                <w:szCs w:val="21"/>
              </w:rPr>
            </w:pPr>
            <w:r>
              <w:rPr>
                <w:rFonts w:hint="eastAsia" w:ascii="宋体" w:hAnsi="宋体" w:cs="宋体"/>
                <w:b/>
                <w:bCs/>
                <w:kern w:val="0"/>
                <w:szCs w:val="21"/>
              </w:rPr>
              <w:t>57</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b/>
                <w:bCs/>
                <w:kern w:val="0"/>
                <w:szCs w:val="21"/>
              </w:rPr>
            </w:pPr>
            <w:r>
              <w:rPr>
                <w:rFonts w:hint="eastAsia" w:ascii="宋体" w:hAnsi="宋体" w:cs="宋体"/>
                <w:b/>
                <w:bCs/>
                <w:kern w:val="0"/>
                <w:szCs w:val="21"/>
              </w:rPr>
              <w:t>二级资本监管调整总和</w:t>
            </w:r>
          </w:p>
        </w:tc>
        <w:tc>
          <w:tcPr>
            <w:tcW w:w="1920" w:type="dxa"/>
            <w:tcBorders>
              <w:top w:val="nil"/>
              <w:left w:val="nil"/>
              <w:bottom w:val="single" w:color="auto" w:sz="4" w:space="0"/>
              <w:right w:val="single" w:color="auto" w:sz="4" w:space="0"/>
            </w:tcBorders>
            <w:noWrap w:val="0"/>
            <w:vAlign w:val="center"/>
          </w:tcPr>
          <w:p>
            <w:pPr>
              <w:jc w:val="right"/>
              <w:rPr>
                <w:rFonts w:hint="default" w:ascii="Arial" w:hAnsi="Arial" w:cs="Arial"/>
              </w:rPr>
            </w:pP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285" w:hRule="atLeast"/>
        </w:trPr>
        <w:tc>
          <w:tcPr>
            <w:tcW w:w="1920" w:type="dxa"/>
            <w:tcBorders>
              <w:top w:val="nil"/>
              <w:left w:val="single" w:color="auto" w:sz="8" w:space="0"/>
              <w:bottom w:val="single" w:color="auto" w:sz="4" w:space="0"/>
              <w:right w:val="single" w:color="auto" w:sz="4" w:space="0"/>
            </w:tcBorders>
            <w:noWrap w:val="0"/>
            <w:vAlign w:val="bottom"/>
          </w:tcPr>
          <w:p>
            <w:pPr>
              <w:widowControl/>
              <w:jc w:val="center"/>
              <w:rPr>
                <w:rFonts w:ascii="宋体" w:hAnsi="宋体" w:cs="宋体"/>
                <w:b/>
                <w:bCs/>
                <w:kern w:val="0"/>
                <w:szCs w:val="21"/>
              </w:rPr>
            </w:pPr>
            <w:r>
              <w:rPr>
                <w:rFonts w:hint="eastAsia" w:ascii="宋体" w:hAnsi="宋体" w:cs="宋体"/>
                <w:b/>
                <w:bCs/>
                <w:kern w:val="0"/>
                <w:szCs w:val="21"/>
              </w:rPr>
              <w:t>58</w:t>
            </w:r>
          </w:p>
        </w:tc>
        <w:tc>
          <w:tcPr>
            <w:tcW w:w="1920" w:type="dxa"/>
            <w:tcBorders>
              <w:top w:val="nil"/>
              <w:left w:val="nil"/>
              <w:bottom w:val="single" w:color="auto" w:sz="4" w:space="0"/>
              <w:right w:val="single" w:color="auto" w:sz="4" w:space="0"/>
            </w:tcBorders>
            <w:noWrap w:val="0"/>
            <w:vAlign w:val="bottom"/>
          </w:tcPr>
          <w:p>
            <w:pPr>
              <w:widowControl/>
              <w:rPr>
                <w:rFonts w:ascii="宋体" w:hAnsi="宋体" w:cs="宋体"/>
                <w:b/>
                <w:bCs/>
                <w:kern w:val="0"/>
                <w:szCs w:val="21"/>
              </w:rPr>
            </w:pPr>
            <w:r>
              <w:rPr>
                <w:rFonts w:hint="eastAsia" w:ascii="宋体" w:hAnsi="宋体" w:cs="宋体"/>
                <w:b/>
                <w:bCs/>
                <w:kern w:val="0"/>
                <w:szCs w:val="21"/>
              </w:rPr>
              <w:t>二级资本</w:t>
            </w:r>
          </w:p>
        </w:tc>
        <w:tc>
          <w:tcPr>
            <w:tcW w:w="1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2,405,957</w:t>
            </w:r>
          </w:p>
        </w:tc>
        <w:tc>
          <w:tcPr>
            <w:tcW w:w="2175" w:type="dxa"/>
            <w:tcBorders>
              <w:top w:val="nil"/>
              <w:left w:val="nil"/>
              <w:bottom w:val="single" w:color="auto" w:sz="4" w:space="0"/>
              <w:right w:val="single" w:color="auto" w:sz="8" w:space="0"/>
            </w:tcBorders>
            <w:noWrap/>
            <w:vAlign w:val="center"/>
          </w:tcPr>
          <w:p>
            <w:pPr>
              <w:jc w:val="right"/>
            </w:pPr>
          </w:p>
        </w:tc>
      </w:tr>
      <w:tr>
        <w:tblPrEx>
          <w:tblLayout w:type="fixed"/>
          <w:tblCellMar>
            <w:top w:w="0" w:type="dxa"/>
            <w:left w:w="108" w:type="dxa"/>
            <w:bottom w:w="0" w:type="dxa"/>
            <w:right w:w="108" w:type="dxa"/>
          </w:tblCellMar>
        </w:tblPrEx>
        <w:trPr>
          <w:trHeight w:val="525" w:hRule="atLeast"/>
        </w:trPr>
        <w:tc>
          <w:tcPr>
            <w:tcW w:w="1920" w:type="dxa"/>
            <w:tcBorders>
              <w:top w:val="nil"/>
              <w:left w:val="single" w:color="auto" w:sz="8" w:space="0"/>
              <w:bottom w:val="single" w:color="auto" w:sz="8" w:space="0"/>
              <w:right w:val="single" w:color="auto" w:sz="4" w:space="0"/>
            </w:tcBorders>
            <w:noWrap w:val="0"/>
            <w:vAlign w:val="bottom"/>
          </w:tcPr>
          <w:p>
            <w:pPr>
              <w:widowControl/>
              <w:jc w:val="center"/>
              <w:rPr>
                <w:rFonts w:ascii="宋体" w:hAnsi="宋体" w:cs="宋体"/>
                <w:b/>
                <w:bCs/>
                <w:kern w:val="0"/>
                <w:szCs w:val="21"/>
              </w:rPr>
            </w:pPr>
            <w:r>
              <w:rPr>
                <w:rFonts w:hint="eastAsia" w:ascii="宋体" w:hAnsi="宋体" w:cs="宋体"/>
                <w:b/>
                <w:bCs/>
                <w:kern w:val="0"/>
                <w:szCs w:val="21"/>
              </w:rPr>
              <w:t>59</w:t>
            </w:r>
          </w:p>
        </w:tc>
        <w:tc>
          <w:tcPr>
            <w:tcW w:w="1920" w:type="dxa"/>
            <w:tcBorders>
              <w:top w:val="nil"/>
              <w:left w:val="nil"/>
              <w:bottom w:val="single" w:color="auto" w:sz="8" w:space="0"/>
              <w:right w:val="single" w:color="auto" w:sz="4" w:space="0"/>
            </w:tcBorders>
            <w:noWrap w:val="0"/>
            <w:vAlign w:val="bottom"/>
          </w:tcPr>
          <w:p>
            <w:pPr>
              <w:widowControl/>
              <w:rPr>
                <w:rFonts w:ascii="宋体" w:hAnsi="宋体" w:cs="宋体"/>
                <w:b/>
                <w:bCs/>
                <w:kern w:val="0"/>
                <w:szCs w:val="21"/>
              </w:rPr>
            </w:pPr>
            <w:r>
              <w:rPr>
                <w:rFonts w:hint="eastAsia" w:ascii="宋体" w:hAnsi="宋体" w:cs="宋体"/>
                <w:b/>
                <w:bCs/>
                <w:kern w:val="0"/>
                <w:szCs w:val="21"/>
              </w:rPr>
              <w:t>总资本（一级资本+二级资本）</w:t>
            </w:r>
          </w:p>
        </w:tc>
        <w:tc>
          <w:tcPr>
            <w:tcW w:w="1920" w:type="dxa"/>
            <w:tcBorders>
              <w:top w:val="nil"/>
              <w:left w:val="nil"/>
              <w:bottom w:val="single" w:color="auto" w:sz="8" w:space="0"/>
              <w:right w:val="single" w:color="auto" w:sz="4"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b/>
                <w:i w:val="0"/>
                <w:color w:val="000000"/>
                <w:kern w:val="0"/>
                <w:sz w:val="21"/>
                <w:szCs w:val="21"/>
                <w:u w:val="none"/>
                <w:lang w:val="en-US" w:eastAsia="zh-CN" w:bidi="ar"/>
              </w:rPr>
              <w:t>17,190,268</w:t>
            </w:r>
          </w:p>
        </w:tc>
        <w:tc>
          <w:tcPr>
            <w:tcW w:w="2175" w:type="dxa"/>
            <w:tcBorders>
              <w:top w:val="nil"/>
              <w:left w:val="nil"/>
              <w:bottom w:val="single" w:color="auto" w:sz="8" w:space="0"/>
              <w:right w:val="single" w:color="auto" w:sz="8" w:space="0"/>
            </w:tcBorders>
            <w:noWrap/>
            <w:vAlign w:val="center"/>
          </w:tcPr>
          <w:p>
            <w:pPr>
              <w:jc w:val="right"/>
            </w:pPr>
          </w:p>
        </w:tc>
      </w:tr>
    </w:tbl>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仿宋_GB2312" w:eastAsia="仿宋_GB2312" w:cs="仿宋_GB2312"/>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pPr>
    </w:p>
    <w:sectPr>
      <w:footerReference r:id="rId3" w:type="default"/>
      <w:pgSz w:w="11906" w:h="16838"/>
      <w:pgMar w:top="2268" w:right="1701" w:bottom="1701" w:left="1701"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s>
      <w:jc w:val="right"/>
      <w:rPr>
        <w:rStyle w:val="7"/>
      </w:rPr>
    </w:pPr>
    <w:r>
      <w:rPr>
        <w:rStyle w:val="7"/>
      </w:rPr>
      <w:fldChar w:fldCharType="begin"/>
    </w:r>
    <w:r>
      <w:rPr>
        <w:rStyle w:val="7"/>
      </w:rPr>
      <w:instrText xml:space="preserve"> PAGE \* Arabic </w:instrText>
    </w:r>
    <w:r>
      <w:rPr>
        <w:rStyle w:val="7"/>
      </w:rPr>
      <w:fldChar w:fldCharType="separate"/>
    </w:r>
    <w:r>
      <w:rPr>
        <w:rStyle w:val="7"/>
        <w:lang/>
      </w:rPr>
      <w:t>1</w:t>
    </w:r>
    <w:r>
      <w:rPr>
        <w:rStyle w:val="7"/>
      </w:rPr>
      <w:fldChar w:fldCharType="end"/>
    </w:r>
  </w:p>
  <w:p>
    <w:pPr>
      <w:pStyle w:val="3"/>
      <w:tabs>
        <w:tab w:val="right" w:pos="8144"/>
        <w:tab w:val="clear" w:pos="8306"/>
      </w:tabs>
      <w:ind w:right="360"/>
      <w:rPr>
        <w:rStyle w:val="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52"/>
    <w:rsid w:val="000066AE"/>
    <w:rsid w:val="000105E5"/>
    <w:rsid w:val="00010FAF"/>
    <w:rsid w:val="00015A0D"/>
    <w:rsid w:val="00021EE2"/>
    <w:rsid w:val="00024B8C"/>
    <w:rsid w:val="000261A9"/>
    <w:rsid w:val="00032C99"/>
    <w:rsid w:val="00035096"/>
    <w:rsid w:val="00040D0D"/>
    <w:rsid w:val="00042E8D"/>
    <w:rsid w:val="00056225"/>
    <w:rsid w:val="00062918"/>
    <w:rsid w:val="00064719"/>
    <w:rsid w:val="00066791"/>
    <w:rsid w:val="00087C99"/>
    <w:rsid w:val="0009066B"/>
    <w:rsid w:val="000908A5"/>
    <w:rsid w:val="000946BF"/>
    <w:rsid w:val="000A4F08"/>
    <w:rsid w:val="000A5484"/>
    <w:rsid w:val="000A6945"/>
    <w:rsid w:val="000C7D1F"/>
    <w:rsid w:val="000D061C"/>
    <w:rsid w:val="000D2C24"/>
    <w:rsid w:val="000D60AB"/>
    <w:rsid w:val="000E7728"/>
    <w:rsid w:val="000F2008"/>
    <w:rsid w:val="000F2585"/>
    <w:rsid w:val="0010412A"/>
    <w:rsid w:val="00110DC2"/>
    <w:rsid w:val="00114111"/>
    <w:rsid w:val="001153BE"/>
    <w:rsid w:val="00130F33"/>
    <w:rsid w:val="00132436"/>
    <w:rsid w:val="001364A4"/>
    <w:rsid w:val="00137B4D"/>
    <w:rsid w:val="00140961"/>
    <w:rsid w:val="00161815"/>
    <w:rsid w:val="001622EF"/>
    <w:rsid w:val="00162B7D"/>
    <w:rsid w:val="00197549"/>
    <w:rsid w:val="001A0393"/>
    <w:rsid w:val="001A17E0"/>
    <w:rsid w:val="001A5E15"/>
    <w:rsid w:val="001C093D"/>
    <w:rsid w:val="001F3278"/>
    <w:rsid w:val="002021E2"/>
    <w:rsid w:val="002063B9"/>
    <w:rsid w:val="0021164D"/>
    <w:rsid w:val="00212F96"/>
    <w:rsid w:val="00216368"/>
    <w:rsid w:val="00231ED8"/>
    <w:rsid w:val="00235072"/>
    <w:rsid w:val="002400F6"/>
    <w:rsid w:val="00242823"/>
    <w:rsid w:val="00251A78"/>
    <w:rsid w:val="0025309A"/>
    <w:rsid w:val="00253881"/>
    <w:rsid w:val="00253A8A"/>
    <w:rsid w:val="002613A5"/>
    <w:rsid w:val="00273B0D"/>
    <w:rsid w:val="002758CC"/>
    <w:rsid w:val="00277357"/>
    <w:rsid w:val="002815A0"/>
    <w:rsid w:val="00283C69"/>
    <w:rsid w:val="00297A52"/>
    <w:rsid w:val="002A2BD6"/>
    <w:rsid w:val="002B17A0"/>
    <w:rsid w:val="002B705B"/>
    <w:rsid w:val="002C3517"/>
    <w:rsid w:val="002D1790"/>
    <w:rsid w:val="002D5206"/>
    <w:rsid w:val="002D75B7"/>
    <w:rsid w:val="002E384C"/>
    <w:rsid w:val="002F0AC6"/>
    <w:rsid w:val="002F1DB8"/>
    <w:rsid w:val="002F4B5E"/>
    <w:rsid w:val="002F558A"/>
    <w:rsid w:val="003019E9"/>
    <w:rsid w:val="00304E33"/>
    <w:rsid w:val="00305833"/>
    <w:rsid w:val="003125B2"/>
    <w:rsid w:val="00320A20"/>
    <w:rsid w:val="00320E37"/>
    <w:rsid w:val="00324748"/>
    <w:rsid w:val="00327D4D"/>
    <w:rsid w:val="00347595"/>
    <w:rsid w:val="0035109C"/>
    <w:rsid w:val="0035431D"/>
    <w:rsid w:val="00355967"/>
    <w:rsid w:val="00360E38"/>
    <w:rsid w:val="00363E52"/>
    <w:rsid w:val="0037092B"/>
    <w:rsid w:val="003757F9"/>
    <w:rsid w:val="003809FC"/>
    <w:rsid w:val="00384272"/>
    <w:rsid w:val="00386739"/>
    <w:rsid w:val="00395012"/>
    <w:rsid w:val="003A0079"/>
    <w:rsid w:val="003A3083"/>
    <w:rsid w:val="003A3A64"/>
    <w:rsid w:val="003A4ACE"/>
    <w:rsid w:val="003A6308"/>
    <w:rsid w:val="003A70A6"/>
    <w:rsid w:val="003C2699"/>
    <w:rsid w:val="003D005D"/>
    <w:rsid w:val="003D6219"/>
    <w:rsid w:val="003E0E30"/>
    <w:rsid w:val="003F0976"/>
    <w:rsid w:val="003F7B32"/>
    <w:rsid w:val="00401213"/>
    <w:rsid w:val="004012EA"/>
    <w:rsid w:val="004148BC"/>
    <w:rsid w:val="00424537"/>
    <w:rsid w:val="00424723"/>
    <w:rsid w:val="004247E4"/>
    <w:rsid w:val="004251FB"/>
    <w:rsid w:val="00435431"/>
    <w:rsid w:val="00435BB0"/>
    <w:rsid w:val="00445524"/>
    <w:rsid w:val="0044558A"/>
    <w:rsid w:val="0046368E"/>
    <w:rsid w:val="004711D5"/>
    <w:rsid w:val="00474432"/>
    <w:rsid w:val="00475ECF"/>
    <w:rsid w:val="00476244"/>
    <w:rsid w:val="00480649"/>
    <w:rsid w:val="00487BEE"/>
    <w:rsid w:val="00492DB6"/>
    <w:rsid w:val="004A4D1B"/>
    <w:rsid w:val="004C0041"/>
    <w:rsid w:val="004E0457"/>
    <w:rsid w:val="004E7AF4"/>
    <w:rsid w:val="004F11F6"/>
    <w:rsid w:val="004F4B1E"/>
    <w:rsid w:val="005008E7"/>
    <w:rsid w:val="00507C39"/>
    <w:rsid w:val="00526C86"/>
    <w:rsid w:val="00530C5D"/>
    <w:rsid w:val="005312CB"/>
    <w:rsid w:val="005350D8"/>
    <w:rsid w:val="00542378"/>
    <w:rsid w:val="0055191C"/>
    <w:rsid w:val="0058264C"/>
    <w:rsid w:val="0059793B"/>
    <w:rsid w:val="005A3D5E"/>
    <w:rsid w:val="005B10CF"/>
    <w:rsid w:val="005B32D1"/>
    <w:rsid w:val="005D3E29"/>
    <w:rsid w:val="005D4DBB"/>
    <w:rsid w:val="005F1E6F"/>
    <w:rsid w:val="005F27D6"/>
    <w:rsid w:val="005F288F"/>
    <w:rsid w:val="005F4213"/>
    <w:rsid w:val="005F7F2D"/>
    <w:rsid w:val="00602766"/>
    <w:rsid w:val="0060340E"/>
    <w:rsid w:val="006052A0"/>
    <w:rsid w:val="006155D3"/>
    <w:rsid w:val="00623E99"/>
    <w:rsid w:val="00652C38"/>
    <w:rsid w:val="0066242A"/>
    <w:rsid w:val="006669C0"/>
    <w:rsid w:val="00673065"/>
    <w:rsid w:val="0068336C"/>
    <w:rsid w:val="006866D2"/>
    <w:rsid w:val="006951FE"/>
    <w:rsid w:val="006A2941"/>
    <w:rsid w:val="006A2A68"/>
    <w:rsid w:val="006A6DEE"/>
    <w:rsid w:val="006B2590"/>
    <w:rsid w:val="006B3376"/>
    <w:rsid w:val="006B6532"/>
    <w:rsid w:val="006F02D1"/>
    <w:rsid w:val="006F505A"/>
    <w:rsid w:val="006F76F2"/>
    <w:rsid w:val="007261A4"/>
    <w:rsid w:val="007265D5"/>
    <w:rsid w:val="00732FB2"/>
    <w:rsid w:val="00752CB3"/>
    <w:rsid w:val="00766531"/>
    <w:rsid w:val="00767A8C"/>
    <w:rsid w:val="00770088"/>
    <w:rsid w:val="007764EA"/>
    <w:rsid w:val="00777021"/>
    <w:rsid w:val="00797807"/>
    <w:rsid w:val="007A67A4"/>
    <w:rsid w:val="007B109E"/>
    <w:rsid w:val="007B3E3B"/>
    <w:rsid w:val="007B7583"/>
    <w:rsid w:val="007C3B7D"/>
    <w:rsid w:val="007C5F0E"/>
    <w:rsid w:val="007E16A9"/>
    <w:rsid w:val="007E24E3"/>
    <w:rsid w:val="007F7AD7"/>
    <w:rsid w:val="0080010F"/>
    <w:rsid w:val="008017CD"/>
    <w:rsid w:val="008043E8"/>
    <w:rsid w:val="00807CB9"/>
    <w:rsid w:val="00817BC7"/>
    <w:rsid w:val="00831A20"/>
    <w:rsid w:val="00832B48"/>
    <w:rsid w:val="0083790E"/>
    <w:rsid w:val="00845CCB"/>
    <w:rsid w:val="00853701"/>
    <w:rsid w:val="00863EBE"/>
    <w:rsid w:val="008708EC"/>
    <w:rsid w:val="008772E3"/>
    <w:rsid w:val="00891E6D"/>
    <w:rsid w:val="008A1DE7"/>
    <w:rsid w:val="008A6A37"/>
    <w:rsid w:val="008A6D86"/>
    <w:rsid w:val="008C1796"/>
    <w:rsid w:val="008C2CBA"/>
    <w:rsid w:val="008C34F9"/>
    <w:rsid w:val="008C6E50"/>
    <w:rsid w:val="008C7396"/>
    <w:rsid w:val="008D0C94"/>
    <w:rsid w:val="008E3661"/>
    <w:rsid w:val="009119BC"/>
    <w:rsid w:val="009132E8"/>
    <w:rsid w:val="009153EB"/>
    <w:rsid w:val="00916AD3"/>
    <w:rsid w:val="009271AD"/>
    <w:rsid w:val="00930807"/>
    <w:rsid w:val="00943E2A"/>
    <w:rsid w:val="00950DE9"/>
    <w:rsid w:val="0095327B"/>
    <w:rsid w:val="009542EB"/>
    <w:rsid w:val="009619A2"/>
    <w:rsid w:val="00964E8F"/>
    <w:rsid w:val="00970B07"/>
    <w:rsid w:val="00975AA4"/>
    <w:rsid w:val="009822C0"/>
    <w:rsid w:val="00984181"/>
    <w:rsid w:val="009852F6"/>
    <w:rsid w:val="009859E4"/>
    <w:rsid w:val="00991C19"/>
    <w:rsid w:val="009A33AC"/>
    <w:rsid w:val="009C2FAF"/>
    <w:rsid w:val="009D0C13"/>
    <w:rsid w:val="009E23D2"/>
    <w:rsid w:val="009E75E3"/>
    <w:rsid w:val="009F7034"/>
    <w:rsid w:val="00A006CC"/>
    <w:rsid w:val="00A03CA4"/>
    <w:rsid w:val="00A05ADC"/>
    <w:rsid w:val="00A063E5"/>
    <w:rsid w:val="00A10D59"/>
    <w:rsid w:val="00A137B6"/>
    <w:rsid w:val="00A209D2"/>
    <w:rsid w:val="00A4396F"/>
    <w:rsid w:val="00A43CDE"/>
    <w:rsid w:val="00A5788A"/>
    <w:rsid w:val="00A67ACB"/>
    <w:rsid w:val="00A700DD"/>
    <w:rsid w:val="00A73DFD"/>
    <w:rsid w:val="00AA1E3D"/>
    <w:rsid w:val="00AB0486"/>
    <w:rsid w:val="00AB543E"/>
    <w:rsid w:val="00AC2411"/>
    <w:rsid w:val="00AC3922"/>
    <w:rsid w:val="00AD20E9"/>
    <w:rsid w:val="00AD3201"/>
    <w:rsid w:val="00AD7F4E"/>
    <w:rsid w:val="00AF17F4"/>
    <w:rsid w:val="00AF5FA4"/>
    <w:rsid w:val="00B115B1"/>
    <w:rsid w:val="00B12FC5"/>
    <w:rsid w:val="00B30716"/>
    <w:rsid w:val="00B33138"/>
    <w:rsid w:val="00B34D06"/>
    <w:rsid w:val="00B45EA8"/>
    <w:rsid w:val="00B5407F"/>
    <w:rsid w:val="00B57964"/>
    <w:rsid w:val="00B81B30"/>
    <w:rsid w:val="00B82F8C"/>
    <w:rsid w:val="00B959D1"/>
    <w:rsid w:val="00B97256"/>
    <w:rsid w:val="00BA1950"/>
    <w:rsid w:val="00BD74B9"/>
    <w:rsid w:val="00BD7BB7"/>
    <w:rsid w:val="00BE546F"/>
    <w:rsid w:val="00BF31DB"/>
    <w:rsid w:val="00BF5467"/>
    <w:rsid w:val="00C006CB"/>
    <w:rsid w:val="00C00C1A"/>
    <w:rsid w:val="00C01141"/>
    <w:rsid w:val="00C0308D"/>
    <w:rsid w:val="00C07C39"/>
    <w:rsid w:val="00C10CC7"/>
    <w:rsid w:val="00C25122"/>
    <w:rsid w:val="00C45C0A"/>
    <w:rsid w:val="00C45CF9"/>
    <w:rsid w:val="00C51971"/>
    <w:rsid w:val="00C65CB9"/>
    <w:rsid w:val="00C76113"/>
    <w:rsid w:val="00C77237"/>
    <w:rsid w:val="00C81DA6"/>
    <w:rsid w:val="00C82CFC"/>
    <w:rsid w:val="00C95C8B"/>
    <w:rsid w:val="00CA3502"/>
    <w:rsid w:val="00CB3A45"/>
    <w:rsid w:val="00CC193B"/>
    <w:rsid w:val="00CC28D5"/>
    <w:rsid w:val="00CD0AB6"/>
    <w:rsid w:val="00CE47A6"/>
    <w:rsid w:val="00CE6AA8"/>
    <w:rsid w:val="00CF26CD"/>
    <w:rsid w:val="00CF2FE6"/>
    <w:rsid w:val="00D04446"/>
    <w:rsid w:val="00D134A7"/>
    <w:rsid w:val="00D14081"/>
    <w:rsid w:val="00D16DBC"/>
    <w:rsid w:val="00D26B44"/>
    <w:rsid w:val="00D32180"/>
    <w:rsid w:val="00D47CE0"/>
    <w:rsid w:val="00D55E91"/>
    <w:rsid w:val="00D57B2F"/>
    <w:rsid w:val="00D6482B"/>
    <w:rsid w:val="00D65FF6"/>
    <w:rsid w:val="00D7668E"/>
    <w:rsid w:val="00D83261"/>
    <w:rsid w:val="00D84B69"/>
    <w:rsid w:val="00D94710"/>
    <w:rsid w:val="00D95406"/>
    <w:rsid w:val="00DB4630"/>
    <w:rsid w:val="00DB64F1"/>
    <w:rsid w:val="00DB6899"/>
    <w:rsid w:val="00DC4E8A"/>
    <w:rsid w:val="00DC6E55"/>
    <w:rsid w:val="00DD276A"/>
    <w:rsid w:val="00DD4D21"/>
    <w:rsid w:val="00DE02AB"/>
    <w:rsid w:val="00DE1BF5"/>
    <w:rsid w:val="00DE2D37"/>
    <w:rsid w:val="00DF0175"/>
    <w:rsid w:val="00DF77FD"/>
    <w:rsid w:val="00E06092"/>
    <w:rsid w:val="00E07E35"/>
    <w:rsid w:val="00E104AB"/>
    <w:rsid w:val="00E145B2"/>
    <w:rsid w:val="00E15F70"/>
    <w:rsid w:val="00E17982"/>
    <w:rsid w:val="00E2354F"/>
    <w:rsid w:val="00E24773"/>
    <w:rsid w:val="00E3080C"/>
    <w:rsid w:val="00E42A21"/>
    <w:rsid w:val="00E477D7"/>
    <w:rsid w:val="00E52599"/>
    <w:rsid w:val="00E56EBA"/>
    <w:rsid w:val="00E635A7"/>
    <w:rsid w:val="00E63E3C"/>
    <w:rsid w:val="00E64951"/>
    <w:rsid w:val="00E65999"/>
    <w:rsid w:val="00E8522B"/>
    <w:rsid w:val="00E85630"/>
    <w:rsid w:val="00E85CD7"/>
    <w:rsid w:val="00E90C44"/>
    <w:rsid w:val="00EA6267"/>
    <w:rsid w:val="00EB3944"/>
    <w:rsid w:val="00EB7A83"/>
    <w:rsid w:val="00EC3154"/>
    <w:rsid w:val="00EC5F5E"/>
    <w:rsid w:val="00ED3203"/>
    <w:rsid w:val="00ED3ADD"/>
    <w:rsid w:val="00EE1A02"/>
    <w:rsid w:val="00EE2B2C"/>
    <w:rsid w:val="00EE6049"/>
    <w:rsid w:val="00EE6ACD"/>
    <w:rsid w:val="00EF6505"/>
    <w:rsid w:val="00EF6939"/>
    <w:rsid w:val="00F023A6"/>
    <w:rsid w:val="00F05E51"/>
    <w:rsid w:val="00F10572"/>
    <w:rsid w:val="00F116B1"/>
    <w:rsid w:val="00F20D4E"/>
    <w:rsid w:val="00F243EC"/>
    <w:rsid w:val="00F25442"/>
    <w:rsid w:val="00F34DB1"/>
    <w:rsid w:val="00F34FB7"/>
    <w:rsid w:val="00F37594"/>
    <w:rsid w:val="00F403FC"/>
    <w:rsid w:val="00F434BB"/>
    <w:rsid w:val="00F47E48"/>
    <w:rsid w:val="00F564C2"/>
    <w:rsid w:val="00F572E2"/>
    <w:rsid w:val="00F61971"/>
    <w:rsid w:val="00F66DBA"/>
    <w:rsid w:val="00F90044"/>
    <w:rsid w:val="00F90BEA"/>
    <w:rsid w:val="00F9493C"/>
    <w:rsid w:val="00F97699"/>
    <w:rsid w:val="00FA3417"/>
    <w:rsid w:val="00FA7E99"/>
    <w:rsid w:val="00FB4D6D"/>
    <w:rsid w:val="00FB5A4C"/>
    <w:rsid w:val="00FC53A7"/>
    <w:rsid w:val="00FC6BC6"/>
    <w:rsid w:val="00FC717F"/>
    <w:rsid w:val="00FD35CB"/>
    <w:rsid w:val="00FE0D71"/>
    <w:rsid w:val="00FE6DE4"/>
    <w:rsid w:val="00FF14DF"/>
    <w:rsid w:val="00FF4F91"/>
    <w:rsid w:val="00FF5A4D"/>
    <w:rsid w:val="05DE79F3"/>
    <w:rsid w:val="10356093"/>
    <w:rsid w:val="152C7832"/>
    <w:rsid w:val="2E695CD5"/>
    <w:rsid w:val="30DD4523"/>
    <w:rsid w:val="320D0409"/>
    <w:rsid w:val="32B22A5D"/>
    <w:rsid w:val="32E537F4"/>
    <w:rsid w:val="33F20F15"/>
    <w:rsid w:val="36237B4B"/>
    <w:rsid w:val="3B36245D"/>
    <w:rsid w:val="3C420BDB"/>
    <w:rsid w:val="43AE4B92"/>
    <w:rsid w:val="4448389C"/>
    <w:rsid w:val="48A46FDD"/>
    <w:rsid w:val="49D16E97"/>
    <w:rsid w:val="4DBB0745"/>
    <w:rsid w:val="4FA709CF"/>
    <w:rsid w:val="50E56946"/>
    <w:rsid w:val="681268B1"/>
    <w:rsid w:val="725B252F"/>
    <w:rsid w:val="726D20D3"/>
    <w:rsid w:val="731365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autoSpaceDE w:val="0"/>
      <w:autoSpaceDN w:val="0"/>
      <w:adjustRightInd w:val="0"/>
      <w:jc w:val="left"/>
    </w:pPr>
    <w:rPr>
      <w:kern w:val="0"/>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731</Words>
  <Characters>4171</Characters>
  <Lines>34</Lines>
  <Paragraphs>9</Paragraphs>
  <TotalTime>0</TotalTime>
  <ScaleCrop>false</ScaleCrop>
  <LinksUpToDate>false</LinksUpToDate>
  <CharactersWithSpaces>4893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2013-07-16T10:06:00Z</dcterms:created>
  <dc:creator>银监会</dc:creator>
  <cp:lastModifiedBy>user</cp:lastModifiedBy>
  <cp:lastPrinted>2015-07-30T06:10:00Z</cp:lastPrinted>
  <dcterms:modified xsi:type="dcterms:W3CDTF">2023-10-31T07:19:01Z</dcterms:modified>
  <dc:title>附表1：资本构成披露模板</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